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8C2DA" w14:textId="77777777" w:rsidR="00395E0E" w:rsidRPr="008733B7" w:rsidRDefault="00395E0E" w:rsidP="009D1114">
      <w:pPr>
        <w:pStyle w:val="1"/>
        <w:spacing w:before="0" w:after="0" w:line="300" w:lineRule="auto"/>
        <w:jc w:val="center"/>
        <w:rPr>
          <w:rFonts w:ascii="宋体" w:hAnsi="宋体"/>
          <w:sz w:val="21"/>
          <w:szCs w:val="21"/>
        </w:rPr>
      </w:pPr>
      <w:bookmarkStart w:id="0" w:name="_Toc252287404"/>
      <w:r w:rsidRPr="008733B7">
        <w:rPr>
          <w:rFonts w:ascii="宋体" w:hAnsi="宋体" w:hint="eastAsia"/>
          <w:sz w:val="21"/>
          <w:szCs w:val="21"/>
        </w:rPr>
        <w:t>第</w:t>
      </w:r>
      <w:r w:rsidR="00320AA7">
        <w:rPr>
          <w:rFonts w:ascii="宋体" w:hAnsi="宋体" w:hint="eastAsia"/>
          <w:sz w:val="21"/>
          <w:szCs w:val="21"/>
        </w:rPr>
        <w:t>六</w:t>
      </w:r>
      <w:r w:rsidRPr="008733B7">
        <w:rPr>
          <w:rFonts w:ascii="宋体" w:hAnsi="宋体" w:hint="eastAsia"/>
          <w:sz w:val="21"/>
          <w:szCs w:val="21"/>
        </w:rPr>
        <w:t>章</w:t>
      </w:r>
      <w:bookmarkEnd w:id="0"/>
      <w:r w:rsidR="00295D74">
        <w:rPr>
          <w:rFonts w:ascii="宋体" w:hAnsi="宋体" w:hint="eastAsia"/>
          <w:sz w:val="21"/>
          <w:szCs w:val="21"/>
        </w:rPr>
        <w:t xml:space="preserve">  企业偿债能力分析</w:t>
      </w:r>
    </w:p>
    <w:p w14:paraId="09D814EB" w14:textId="77777777" w:rsidR="00395E0E" w:rsidRPr="00BC0D8B" w:rsidRDefault="00395E0E" w:rsidP="009D1114">
      <w:pPr>
        <w:pStyle w:val="2"/>
        <w:spacing w:before="0" w:after="0" w:line="300" w:lineRule="auto"/>
        <w:rPr>
          <w:rFonts w:ascii="宋体" w:eastAsia="宋体" w:hAnsi="宋体"/>
          <w:sz w:val="21"/>
          <w:szCs w:val="21"/>
        </w:rPr>
      </w:pPr>
      <w:r w:rsidRPr="00BC0D8B">
        <w:rPr>
          <w:rFonts w:ascii="宋体" w:eastAsia="宋体" w:hAnsi="宋体" w:hint="eastAsia"/>
          <w:sz w:val="21"/>
          <w:szCs w:val="21"/>
        </w:rPr>
        <w:t>课后习题答案</w:t>
      </w:r>
    </w:p>
    <w:p w14:paraId="41A7282E" w14:textId="77777777" w:rsidR="00395E0E" w:rsidRPr="00490D09" w:rsidRDefault="00395E0E" w:rsidP="009D1114">
      <w:pPr>
        <w:pStyle w:val="4"/>
        <w:spacing w:before="120" w:after="120" w:line="300" w:lineRule="auto"/>
        <w:rPr>
          <w:rFonts w:ascii="宋体" w:eastAsia="宋体" w:hAnsi="宋体"/>
          <w:sz w:val="21"/>
          <w:szCs w:val="21"/>
        </w:rPr>
      </w:pPr>
      <w:r w:rsidRPr="00490D09">
        <w:rPr>
          <w:rFonts w:ascii="宋体" w:eastAsia="宋体" w:hAnsi="宋体" w:hint="eastAsia"/>
          <w:sz w:val="21"/>
          <w:szCs w:val="21"/>
        </w:rPr>
        <w:t>1．</w:t>
      </w:r>
      <w:r w:rsidRPr="00490D09">
        <w:rPr>
          <w:rFonts w:ascii="宋体" w:eastAsia="宋体" w:hAnsi="宋体" w:hint="eastAsia"/>
          <w:kern w:val="0"/>
          <w:sz w:val="21"/>
          <w:szCs w:val="21"/>
        </w:rPr>
        <w:t>简述偿债能力分析的意义</w:t>
      </w:r>
      <w:r w:rsidRPr="00490D09">
        <w:rPr>
          <w:rFonts w:ascii="宋体" w:eastAsia="宋体" w:hAnsi="宋体" w:hint="eastAsia"/>
          <w:sz w:val="21"/>
          <w:szCs w:val="21"/>
        </w:rPr>
        <w:t>。</w:t>
      </w:r>
    </w:p>
    <w:p w14:paraId="44BD3804" w14:textId="77777777" w:rsidR="00395E0E" w:rsidRPr="00AC3B03" w:rsidRDefault="00395E0E" w:rsidP="009D1114">
      <w:pPr>
        <w:snapToGrid w:val="0"/>
        <w:spacing w:line="300" w:lineRule="auto"/>
        <w:ind w:firstLineChars="200" w:firstLine="420"/>
        <w:rPr>
          <w:rFonts w:ascii="宋体" w:hAnsi="宋体"/>
          <w:szCs w:val="21"/>
        </w:rPr>
      </w:pPr>
      <w:r>
        <w:rPr>
          <w:rFonts w:ascii="宋体" w:hAnsi="宋体" w:hint="eastAsia"/>
          <w:szCs w:val="21"/>
        </w:rPr>
        <w:t>（</w:t>
      </w:r>
      <w:r w:rsidR="008C7940">
        <w:rPr>
          <w:rFonts w:ascii="宋体" w:hAnsi="宋体" w:hint="eastAsia"/>
          <w:szCs w:val="21"/>
        </w:rPr>
        <w:t>1</w:t>
      </w:r>
      <w:r>
        <w:rPr>
          <w:rFonts w:ascii="宋体" w:hAnsi="宋体" w:hint="eastAsia"/>
          <w:szCs w:val="21"/>
        </w:rPr>
        <w:t>）</w:t>
      </w:r>
      <w:r w:rsidRPr="00AC3B03">
        <w:rPr>
          <w:rFonts w:ascii="宋体" w:hAnsi="宋体" w:hint="eastAsia"/>
          <w:szCs w:val="21"/>
        </w:rPr>
        <w:t xml:space="preserve"> 有利于债权人判断其债权收回的保证程度</w:t>
      </w:r>
      <w:r w:rsidR="00554357">
        <w:rPr>
          <w:rFonts w:ascii="宋体" w:hAnsi="宋体" w:hint="eastAsia"/>
          <w:szCs w:val="21"/>
        </w:rPr>
        <w:t>。</w:t>
      </w:r>
      <w:r w:rsidRPr="00AC3B03">
        <w:rPr>
          <w:rFonts w:ascii="宋体" w:hAnsi="宋体" w:hint="eastAsia"/>
          <w:szCs w:val="21"/>
        </w:rPr>
        <w:t>在市场经济条件下，企业总要面临风险，这就要求企业必须拥有一定的主权资本，以承担经营亏损，应</w:t>
      </w:r>
      <w:r>
        <w:rPr>
          <w:rFonts w:ascii="宋体" w:hAnsi="宋体" w:hint="eastAsia"/>
          <w:szCs w:val="21"/>
        </w:rPr>
        <w:t>对</w:t>
      </w:r>
      <w:r w:rsidRPr="00AC3B03">
        <w:rPr>
          <w:rFonts w:ascii="宋体" w:hAnsi="宋体" w:hint="eastAsia"/>
          <w:szCs w:val="21"/>
        </w:rPr>
        <w:t>意外的打击。一般而言，所有者权益在企业资本结构中所占的比例越高，对债权人的债权保障程度就越高，反之亦然。对企业债权人而言，偿债能力分析的主要目的是判断其自身债权的收回保证程度，即确认企业能否按期还本付息。因此，债权人希望融资结构中的所有者权益比重越大越好。</w:t>
      </w:r>
    </w:p>
    <w:p w14:paraId="2A1AB9FC" w14:textId="77777777" w:rsidR="00395E0E" w:rsidRPr="00AC3B03" w:rsidRDefault="00395E0E" w:rsidP="009D1114">
      <w:pPr>
        <w:snapToGrid w:val="0"/>
        <w:spacing w:line="300" w:lineRule="auto"/>
        <w:ind w:firstLineChars="200" w:firstLine="420"/>
        <w:rPr>
          <w:rFonts w:ascii="宋体" w:hAnsi="宋体"/>
          <w:szCs w:val="21"/>
        </w:rPr>
      </w:pPr>
      <w:r>
        <w:rPr>
          <w:rFonts w:ascii="宋体" w:hAnsi="宋体" w:hint="eastAsia"/>
          <w:szCs w:val="21"/>
        </w:rPr>
        <w:t>（</w:t>
      </w:r>
      <w:r w:rsidR="008C7940">
        <w:rPr>
          <w:rFonts w:ascii="宋体" w:hAnsi="宋体" w:hint="eastAsia"/>
          <w:szCs w:val="21"/>
        </w:rPr>
        <w:t>2</w:t>
      </w:r>
      <w:r>
        <w:rPr>
          <w:rFonts w:ascii="宋体" w:hAnsi="宋体" w:hint="eastAsia"/>
          <w:szCs w:val="21"/>
        </w:rPr>
        <w:t>）</w:t>
      </w:r>
      <w:r w:rsidRPr="00AC3B03">
        <w:rPr>
          <w:rFonts w:ascii="宋体" w:hAnsi="宋体" w:hint="eastAsia"/>
          <w:szCs w:val="21"/>
        </w:rPr>
        <w:t xml:space="preserve"> 有利于投资者进行投资决策</w:t>
      </w:r>
      <w:r w:rsidR="00554357">
        <w:rPr>
          <w:rFonts w:ascii="宋体" w:hAnsi="宋体" w:hint="eastAsia"/>
          <w:szCs w:val="21"/>
        </w:rPr>
        <w:t>。</w:t>
      </w:r>
      <w:r w:rsidRPr="00AC3B03">
        <w:rPr>
          <w:rFonts w:ascii="宋体" w:hAnsi="宋体" w:hint="eastAsia"/>
          <w:szCs w:val="21"/>
        </w:rPr>
        <w:t>企业所有者是企业的终极风险承担者，企业的资产只有先偿还债务后，其剩余部分才归所有者所有，投资者十分关心其投入资本能否保全。另外，投资者还要关注通过债务获得的杠杆收益，因此投资者是撤出资本还是追加投资，需要分析企业的偿债能力以权衡风险和收益。</w:t>
      </w:r>
      <w:r w:rsidRPr="00AC3B03">
        <w:rPr>
          <w:rFonts w:ascii="宋体" w:hAnsi="宋体"/>
          <w:szCs w:val="21"/>
        </w:rPr>
        <w:t xml:space="preserve"> </w:t>
      </w:r>
    </w:p>
    <w:p w14:paraId="5E5DCBCA" w14:textId="77777777" w:rsidR="00395E0E" w:rsidRPr="00AC3B03" w:rsidRDefault="00395E0E" w:rsidP="009D1114">
      <w:pPr>
        <w:snapToGrid w:val="0"/>
        <w:spacing w:line="300" w:lineRule="auto"/>
        <w:ind w:firstLineChars="200" w:firstLine="420"/>
        <w:rPr>
          <w:rFonts w:ascii="宋体" w:hAnsi="宋体"/>
          <w:szCs w:val="21"/>
        </w:rPr>
      </w:pPr>
      <w:r>
        <w:rPr>
          <w:rFonts w:ascii="宋体" w:hAnsi="宋体" w:hint="eastAsia"/>
          <w:szCs w:val="21"/>
        </w:rPr>
        <w:t>（</w:t>
      </w:r>
      <w:r w:rsidR="008C7940">
        <w:rPr>
          <w:rFonts w:ascii="宋体" w:hAnsi="宋体" w:hint="eastAsia"/>
          <w:szCs w:val="21"/>
        </w:rPr>
        <w:t>3</w:t>
      </w:r>
      <w:r>
        <w:rPr>
          <w:rFonts w:ascii="宋体" w:hAnsi="宋体" w:hint="eastAsia"/>
          <w:szCs w:val="21"/>
        </w:rPr>
        <w:t>）</w:t>
      </w:r>
      <w:r w:rsidRPr="00AC3B03">
        <w:rPr>
          <w:rFonts w:ascii="宋体" w:hAnsi="宋体" w:hint="eastAsia"/>
          <w:szCs w:val="21"/>
        </w:rPr>
        <w:t xml:space="preserve"> 有利于优化企业融资结构、降低融资成本</w:t>
      </w:r>
      <w:r w:rsidR="00554357">
        <w:rPr>
          <w:rFonts w:ascii="宋体" w:hAnsi="宋体" w:hint="eastAsia"/>
          <w:szCs w:val="21"/>
        </w:rPr>
        <w:t>。</w:t>
      </w:r>
      <w:r w:rsidRPr="00AC3B03">
        <w:rPr>
          <w:rFonts w:ascii="宋体" w:hAnsi="宋体" w:hint="eastAsia"/>
          <w:szCs w:val="21"/>
        </w:rPr>
        <w:t>优化融资结构，表现为吸收更多的主权资本，提高企业承担财务风险的能力。所有者权益是企业对外清偿债务、承担风险的后盾，是企业保持良好财务形象的基础，拥有良好的偿债能力企业才能获得源源不断的投资和贷款。企业通过确定合理的投资者资本与债务比例，保持最佳的融资结构，使企业面临的综合风险降</w:t>
      </w:r>
      <w:r>
        <w:rPr>
          <w:rFonts w:ascii="宋体" w:hAnsi="宋体" w:hint="eastAsia"/>
          <w:szCs w:val="21"/>
        </w:rPr>
        <w:t>至</w:t>
      </w:r>
      <w:r w:rsidRPr="00AC3B03">
        <w:rPr>
          <w:rFonts w:ascii="宋体" w:hAnsi="宋体" w:hint="eastAsia"/>
          <w:szCs w:val="21"/>
        </w:rPr>
        <w:t>最低，</w:t>
      </w:r>
      <w:r>
        <w:rPr>
          <w:rFonts w:ascii="宋体" w:hAnsi="宋体" w:hint="eastAsia"/>
          <w:szCs w:val="21"/>
        </w:rPr>
        <w:t>降低</w:t>
      </w:r>
      <w:r w:rsidRPr="00AC3B03">
        <w:rPr>
          <w:rFonts w:ascii="宋体" w:hAnsi="宋体" w:hint="eastAsia"/>
          <w:szCs w:val="21"/>
        </w:rPr>
        <w:t>融资成本。</w:t>
      </w:r>
    </w:p>
    <w:p w14:paraId="4F5FFD04" w14:textId="77777777" w:rsidR="00395E0E" w:rsidRPr="00AC3B03" w:rsidRDefault="00395E0E" w:rsidP="009D1114">
      <w:pPr>
        <w:snapToGrid w:val="0"/>
        <w:spacing w:line="300" w:lineRule="auto"/>
        <w:ind w:firstLineChars="200" w:firstLine="420"/>
        <w:rPr>
          <w:rFonts w:ascii="宋体" w:hAnsi="宋体"/>
          <w:szCs w:val="21"/>
        </w:rPr>
      </w:pPr>
      <w:r>
        <w:rPr>
          <w:rFonts w:ascii="宋体" w:hAnsi="宋体" w:hint="eastAsia"/>
          <w:szCs w:val="21"/>
        </w:rPr>
        <w:t>（</w:t>
      </w:r>
      <w:r w:rsidR="008C7940">
        <w:rPr>
          <w:rFonts w:ascii="宋体" w:hAnsi="宋体" w:hint="eastAsia"/>
          <w:szCs w:val="21"/>
        </w:rPr>
        <w:t>4</w:t>
      </w:r>
      <w:r>
        <w:rPr>
          <w:rFonts w:ascii="宋体" w:hAnsi="宋体" w:hint="eastAsia"/>
          <w:szCs w:val="21"/>
        </w:rPr>
        <w:t>）</w:t>
      </w:r>
      <w:r w:rsidRPr="00AC3B03">
        <w:rPr>
          <w:rFonts w:ascii="宋体" w:hAnsi="宋体" w:hint="eastAsia"/>
          <w:szCs w:val="21"/>
        </w:rPr>
        <w:t xml:space="preserve"> 有利于政府进行宏观经济管理</w:t>
      </w:r>
      <w:r w:rsidR="00554357">
        <w:rPr>
          <w:rFonts w:ascii="宋体" w:hAnsi="宋体" w:hint="eastAsia"/>
          <w:szCs w:val="21"/>
        </w:rPr>
        <w:t>。</w:t>
      </w:r>
      <w:r w:rsidRPr="00AC3B03">
        <w:rPr>
          <w:rFonts w:ascii="宋体" w:hAnsi="宋体" w:hint="eastAsia"/>
          <w:szCs w:val="21"/>
        </w:rPr>
        <w:t>对政府有关经济管理部门而言，计算偿债能力风险的主要目的是判断企业是否可以进入有限制的领域进行经营和财务运作，以保证整个社会经济的协调运转，维护市场秩序。</w:t>
      </w:r>
    </w:p>
    <w:p w14:paraId="307A6D3A" w14:textId="77777777" w:rsidR="00395E0E" w:rsidRDefault="00395E0E" w:rsidP="009D1114">
      <w:pPr>
        <w:snapToGrid w:val="0"/>
        <w:spacing w:line="300" w:lineRule="auto"/>
        <w:ind w:firstLineChars="200" w:firstLine="420"/>
        <w:rPr>
          <w:rFonts w:ascii="宋体" w:hAnsi="宋体"/>
          <w:szCs w:val="21"/>
        </w:rPr>
      </w:pPr>
      <w:r>
        <w:rPr>
          <w:rFonts w:ascii="宋体" w:hAnsi="宋体" w:hint="eastAsia"/>
          <w:szCs w:val="21"/>
        </w:rPr>
        <w:t>（</w:t>
      </w:r>
      <w:r w:rsidR="008C7940">
        <w:rPr>
          <w:rFonts w:ascii="宋体" w:hAnsi="宋体" w:hint="eastAsia"/>
          <w:szCs w:val="21"/>
        </w:rPr>
        <w:t>5</w:t>
      </w:r>
      <w:r>
        <w:rPr>
          <w:rFonts w:ascii="宋体" w:hAnsi="宋体" w:hint="eastAsia"/>
          <w:szCs w:val="21"/>
        </w:rPr>
        <w:t>）</w:t>
      </w:r>
      <w:r w:rsidRPr="00AC3B03">
        <w:rPr>
          <w:rFonts w:ascii="宋体" w:hAnsi="宋体" w:hint="eastAsia"/>
          <w:szCs w:val="21"/>
        </w:rPr>
        <w:t xml:space="preserve"> 有利于经营关联企业开展业务</w:t>
      </w:r>
      <w:r w:rsidR="00554357">
        <w:rPr>
          <w:rFonts w:ascii="宋体" w:hAnsi="宋体" w:hint="eastAsia"/>
          <w:szCs w:val="21"/>
        </w:rPr>
        <w:t>。</w:t>
      </w:r>
      <w:r w:rsidRPr="00AC3B03">
        <w:rPr>
          <w:rFonts w:ascii="宋体" w:hAnsi="宋体" w:hint="eastAsia"/>
          <w:szCs w:val="21"/>
        </w:rPr>
        <w:t>对企业的客户来说，企业短期偿债能力的强弱意味着企业履行合同能力的强弱；长期偿债能力则反映企业是否具有长期支付能力，有助于判断企业信用状况和未来业务能力，并</w:t>
      </w:r>
      <w:r>
        <w:rPr>
          <w:rFonts w:ascii="宋体" w:hAnsi="宋体" w:hint="eastAsia"/>
          <w:szCs w:val="21"/>
        </w:rPr>
        <w:t>做</w:t>
      </w:r>
      <w:r w:rsidRPr="00AC3B03">
        <w:rPr>
          <w:rFonts w:ascii="宋体" w:hAnsi="宋体" w:hint="eastAsia"/>
          <w:szCs w:val="21"/>
        </w:rPr>
        <w:t>出是否建立长期稳定的业务合作关系的决策。</w:t>
      </w:r>
    </w:p>
    <w:p w14:paraId="63BD1DB0" w14:textId="77777777" w:rsidR="00395E0E" w:rsidRPr="00490D09" w:rsidRDefault="00395E0E" w:rsidP="009D1114">
      <w:pPr>
        <w:pStyle w:val="4"/>
        <w:spacing w:before="120" w:after="120" w:line="300" w:lineRule="auto"/>
        <w:rPr>
          <w:rFonts w:ascii="宋体" w:eastAsia="宋体" w:hAnsi="宋体"/>
          <w:kern w:val="0"/>
          <w:sz w:val="21"/>
          <w:szCs w:val="21"/>
        </w:rPr>
      </w:pPr>
      <w:r w:rsidRPr="00490D09">
        <w:rPr>
          <w:rFonts w:ascii="宋体" w:eastAsia="宋体" w:hAnsi="宋体" w:hint="eastAsia"/>
          <w:sz w:val="21"/>
          <w:szCs w:val="21"/>
        </w:rPr>
        <w:t>2．</w:t>
      </w:r>
      <w:r w:rsidRPr="00490D09">
        <w:rPr>
          <w:rFonts w:ascii="宋体" w:eastAsia="宋体" w:hAnsi="宋体" w:hint="eastAsia"/>
          <w:kern w:val="0"/>
          <w:sz w:val="21"/>
          <w:szCs w:val="21"/>
        </w:rPr>
        <w:t>简述短期偿债能力和长期偿债能力的指标。</w:t>
      </w:r>
    </w:p>
    <w:p w14:paraId="6928DE0C" w14:textId="77777777" w:rsidR="00AA4E7B" w:rsidRDefault="00395E0E" w:rsidP="009D1114">
      <w:pPr>
        <w:spacing w:line="300" w:lineRule="auto"/>
        <w:ind w:firstLine="420"/>
        <w:jc w:val="left"/>
      </w:pPr>
      <w:r>
        <w:rPr>
          <w:rFonts w:hint="eastAsia"/>
        </w:rPr>
        <w:t>（</w:t>
      </w:r>
      <w:r w:rsidR="008C7940">
        <w:rPr>
          <w:rFonts w:hint="eastAsia"/>
        </w:rPr>
        <w:t>1</w:t>
      </w:r>
      <w:r>
        <w:rPr>
          <w:rFonts w:hint="eastAsia"/>
        </w:rPr>
        <w:t>）短期偿债能力指标</w:t>
      </w:r>
      <w:r w:rsidR="00554357">
        <w:rPr>
          <w:rFonts w:hint="eastAsia"/>
        </w:rPr>
        <w:t>。</w:t>
      </w:r>
      <w:r w:rsidR="00AA4E7B">
        <w:rPr>
          <w:rFonts w:hint="eastAsia"/>
        </w:rPr>
        <w:t>短期偿债能力指标包括</w:t>
      </w:r>
      <w:r w:rsidR="00AA4E7B" w:rsidRPr="00AC3B03">
        <w:rPr>
          <w:rFonts w:ascii="宋体" w:hAnsi="宋体" w:hint="eastAsia"/>
          <w:szCs w:val="21"/>
        </w:rPr>
        <w:t>营运资本</w:t>
      </w:r>
      <w:r w:rsidR="00AA4E7B">
        <w:rPr>
          <w:rFonts w:ascii="宋体" w:hAnsi="宋体" w:hint="eastAsia"/>
          <w:szCs w:val="21"/>
        </w:rPr>
        <w:t>、</w:t>
      </w:r>
      <w:r w:rsidR="00AA4E7B" w:rsidRPr="00AC3B03">
        <w:rPr>
          <w:rFonts w:ascii="宋体" w:hAnsi="宋体" w:hint="eastAsia"/>
          <w:szCs w:val="21"/>
        </w:rPr>
        <w:t>流动比率</w:t>
      </w:r>
      <w:r w:rsidR="00AA4E7B">
        <w:rPr>
          <w:rFonts w:ascii="宋体" w:hAnsi="宋体" w:hint="eastAsia"/>
          <w:szCs w:val="21"/>
        </w:rPr>
        <w:t>、</w:t>
      </w:r>
      <w:r w:rsidR="00AA4E7B" w:rsidRPr="00AC3B03">
        <w:rPr>
          <w:rFonts w:ascii="宋体" w:hAnsi="宋体" w:hint="eastAsia"/>
          <w:szCs w:val="21"/>
        </w:rPr>
        <w:t>速动比率</w:t>
      </w:r>
      <w:r w:rsidR="00AA4E7B">
        <w:rPr>
          <w:rFonts w:ascii="宋体" w:hAnsi="宋体" w:hint="eastAsia"/>
          <w:szCs w:val="21"/>
        </w:rPr>
        <w:t>、</w:t>
      </w:r>
      <w:r w:rsidR="00AA4E7B" w:rsidRPr="00AC3B03">
        <w:rPr>
          <w:rFonts w:ascii="宋体" w:hAnsi="宋体" w:hint="eastAsia"/>
          <w:szCs w:val="21"/>
        </w:rPr>
        <w:t>现金比率</w:t>
      </w:r>
      <w:r w:rsidR="00AA4E7B">
        <w:rPr>
          <w:rFonts w:ascii="宋体" w:hAnsi="宋体" w:hint="eastAsia"/>
          <w:szCs w:val="21"/>
        </w:rPr>
        <w:t>。</w:t>
      </w:r>
    </w:p>
    <w:p w14:paraId="5FDB6EE3" w14:textId="77777777" w:rsidR="00395E0E" w:rsidRPr="00AC3B03" w:rsidRDefault="00395E0E" w:rsidP="009D1114">
      <w:pPr>
        <w:snapToGrid w:val="0"/>
        <w:spacing w:line="300" w:lineRule="auto"/>
        <w:ind w:firstLineChars="200" w:firstLine="420"/>
        <w:rPr>
          <w:rFonts w:ascii="宋体" w:hAnsi="宋体"/>
          <w:szCs w:val="21"/>
        </w:rPr>
      </w:pPr>
      <w:r w:rsidRPr="00AC3B03">
        <w:rPr>
          <w:rFonts w:ascii="宋体" w:hAnsi="宋体" w:hint="eastAsia"/>
          <w:szCs w:val="21"/>
        </w:rPr>
        <w:t>营运资本</w:t>
      </w:r>
      <w:r>
        <w:rPr>
          <w:rFonts w:ascii="宋体" w:hAnsi="宋体" w:hint="eastAsia"/>
          <w:szCs w:val="21"/>
        </w:rPr>
        <w:t>。</w:t>
      </w:r>
      <w:r w:rsidRPr="00AC3B03">
        <w:rPr>
          <w:rFonts w:ascii="宋体" w:hAnsi="宋体" w:hint="eastAsia"/>
          <w:szCs w:val="21"/>
        </w:rPr>
        <w:t>营运资本是指流动资产超过流动负债的部分</w:t>
      </w:r>
      <w:r>
        <w:rPr>
          <w:rFonts w:ascii="宋体" w:hAnsi="宋体" w:hint="eastAsia"/>
          <w:szCs w:val="21"/>
        </w:rPr>
        <w:t>，等于流动资产与流动负债的差额</w:t>
      </w:r>
      <w:r w:rsidRPr="00AC3B03">
        <w:rPr>
          <w:rFonts w:ascii="宋体" w:hAnsi="宋体" w:hint="eastAsia"/>
          <w:szCs w:val="21"/>
        </w:rPr>
        <w:t>。营运资本是计量企业短期偿债能力的绝对指标，其计算公式为：</w:t>
      </w:r>
    </w:p>
    <w:p w14:paraId="0039F653" w14:textId="77777777" w:rsidR="00395E0E" w:rsidRPr="00AC3B03" w:rsidRDefault="00395E0E"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营运资本</m:t>
          </m:r>
          <m:r>
            <m:rPr>
              <m:sty m:val="p"/>
            </m:rPr>
            <w:rPr>
              <w:rFonts w:ascii="Cambria Math" w:hAnsi="Cambria Math"/>
              <w:szCs w:val="21"/>
            </w:rPr>
            <m:t>=</m:t>
          </m:r>
          <m:r>
            <m:rPr>
              <m:sty m:val="p"/>
            </m:rPr>
            <w:rPr>
              <w:rFonts w:ascii="Cambria Math" w:hAnsi="Cambria Math"/>
              <w:szCs w:val="21"/>
            </w:rPr>
            <m:t>流动资产</m:t>
          </m:r>
          <m:r>
            <m:rPr>
              <m:sty m:val="p"/>
            </m:rPr>
            <w:rPr>
              <w:rFonts w:ascii="Cambria Math" w:hAnsi="Cambria Math"/>
              <w:szCs w:val="21"/>
            </w:rPr>
            <m:t>-</m:t>
          </m:r>
          <m:r>
            <m:rPr>
              <m:sty m:val="p"/>
            </m:rPr>
            <w:rPr>
              <w:rFonts w:ascii="Cambria Math" w:hAnsi="Cambria Math"/>
              <w:szCs w:val="21"/>
            </w:rPr>
            <m:t>流动负债</m:t>
          </m:r>
        </m:oMath>
      </m:oMathPara>
    </w:p>
    <w:p w14:paraId="4AAB8B4B" w14:textId="77777777" w:rsidR="00395E0E" w:rsidRPr="00AC3B03" w:rsidRDefault="00395E0E" w:rsidP="009D1114">
      <w:pPr>
        <w:snapToGrid w:val="0"/>
        <w:spacing w:line="300" w:lineRule="auto"/>
        <w:ind w:firstLineChars="200" w:firstLine="420"/>
        <w:rPr>
          <w:rFonts w:ascii="宋体" w:hAnsi="宋体"/>
          <w:szCs w:val="21"/>
        </w:rPr>
      </w:pPr>
      <w:r w:rsidRPr="00AC3B03">
        <w:rPr>
          <w:rFonts w:ascii="宋体" w:hAnsi="宋体" w:hint="eastAsia"/>
          <w:szCs w:val="21"/>
        </w:rPr>
        <w:t>流动比率</w:t>
      </w:r>
      <w:r>
        <w:rPr>
          <w:rFonts w:ascii="宋体" w:hAnsi="宋体" w:hint="eastAsia"/>
          <w:szCs w:val="21"/>
        </w:rPr>
        <w:t>。</w:t>
      </w:r>
      <w:r w:rsidRPr="00AC3B03">
        <w:rPr>
          <w:rFonts w:ascii="宋体" w:hAnsi="宋体" w:hint="eastAsia"/>
          <w:szCs w:val="21"/>
        </w:rPr>
        <w:t>流动比率是流动资产与流动负债的比值，其计算公式如下：</w:t>
      </w:r>
    </w:p>
    <w:p w14:paraId="320B9E7B" w14:textId="77777777" w:rsidR="00395E0E" w:rsidRPr="00AC3B03" w:rsidRDefault="00395E0E"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流动比率</m:t>
          </m:r>
          <m:r>
            <m:rPr>
              <m:sty m:val="p"/>
            </m:rPr>
            <w:rPr>
              <w:rFonts w:ascii="Cambria Math" w:hAnsi="Cambria Math"/>
              <w:szCs w:val="21"/>
            </w:rPr>
            <m:t>=</m:t>
          </m:r>
          <m:r>
            <m:rPr>
              <m:sty m:val="p"/>
            </m:rPr>
            <w:rPr>
              <w:rFonts w:ascii="Cambria Math" w:hAnsi="Cambria Math"/>
              <w:szCs w:val="21"/>
            </w:rPr>
            <m:t>流动资产</m:t>
          </m:r>
          <m:r>
            <m:rPr>
              <m:sty m:val="p"/>
            </m:rPr>
            <w:rPr>
              <w:rFonts w:ascii="Cambria Math" w:hAnsi="Cambria Math"/>
              <w:szCs w:val="21"/>
            </w:rPr>
            <m:t>÷</m:t>
          </m:r>
          <m:r>
            <m:rPr>
              <m:sty m:val="p"/>
            </m:rPr>
            <w:rPr>
              <w:rFonts w:ascii="Cambria Math" w:hAnsi="Cambria Math"/>
              <w:szCs w:val="21"/>
            </w:rPr>
            <m:t>流动负债</m:t>
          </m:r>
        </m:oMath>
      </m:oMathPara>
    </w:p>
    <w:p w14:paraId="02CB9B92" w14:textId="77777777" w:rsidR="00395E0E" w:rsidRPr="00AC3B03" w:rsidRDefault="00395E0E" w:rsidP="009D1114">
      <w:pPr>
        <w:snapToGrid w:val="0"/>
        <w:spacing w:line="300" w:lineRule="auto"/>
        <w:ind w:firstLineChars="200" w:firstLine="420"/>
        <w:rPr>
          <w:rFonts w:ascii="宋体" w:hAnsi="宋体"/>
          <w:szCs w:val="21"/>
        </w:rPr>
      </w:pPr>
      <w:r w:rsidRPr="00AC3B03">
        <w:rPr>
          <w:rFonts w:ascii="宋体" w:hAnsi="宋体" w:hint="eastAsia"/>
          <w:szCs w:val="21"/>
        </w:rPr>
        <w:t>速动比率</w:t>
      </w:r>
      <w:r>
        <w:rPr>
          <w:rFonts w:ascii="宋体" w:hAnsi="宋体" w:hint="eastAsia"/>
          <w:szCs w:val="21"/>
        </w:rPr>
        <w:t>。速动资产包括货币资金、交易性金融资产和各种应收款项等</w:t>
      </w:r>
      <w:r w:rsidRPr="00AC3B03">
        <w:rPr>
          <w:rFonts w:ascii="宋体" w:hAnsi="宋体" w:hint="eastAsia"/>
          <w:szCs w:val="21"/>
        </w:rPr>
        <w:t>可以在较短时间内变现</w:t>
      </w:r>
      <w:r>
        <w:rPr>
          <w:rFonts w:ascii="宋体" w:hAnsi="宋体" w:hint="eastAsia"/>
          <w:szCs w:val="21"/>
        </w:rPr>
        <w:t>的资产。</w:t>
      </w:r>
      <w:r w:rsidRPr="00AC3B03">
        <w:rPr>
          <w:rFonts w:ascii="宋体" w:hAnsi="宋体" w:hint="eastAsia"/>
          <w:szCs w:val="21"/>
        </w:rPr>
        <w:t>速动资产与流动负债的比值称为速动比率，其计算公式如下：</w:t>
      </w:r>
    </w:p>
    <w:p w14:paraId="581BDD12" w14:textId="77777777" w:rsidR="00395E0E" w:rsidRPr="00AC3B03" w:rsidRDefault="00395E0E"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速动比率</m:t>
          </m:r>
          <m:r>
            <m:rPr>
              <m:sty m:val="p"/>
            </m:rPr>
            <w:rPr>
              <w:rFonts w:ascii="Cambria Math" w:hAnsi="Cambria Math"/>
              <w:szCs w:val="21"/>
            </w:rPr>
            <m:t>=</m:t>
          </m:r>
          <m:r>
            <m:rPr>
              <m:sty m:val="p"/>
            </m:rPr>
            <w:rPr>
              <w:rFonts w:ascii="Cambria Math" w:hAnsi="Cambria Math"/>
              <w:szCs w:val="21"/>
            </w:rPr>
            <m:t>速动资产</m:t>
          </m:r>
          <m:r>
            <m:rPr>
              <m:sty m:val="p"/>
            </m:rPr>
            <w:rPr>
              <w:rFonts w:ascii="Cambria Math" w:hAnsi="Cambria Math"/>
              <w:szCs w:val="21"/>
            </w:rPr>
            <m:t>÷</m:t>
          </m:r>
          <m:r>
            <m:rPr>
              <m:sty m:val="p"/>
            </m:rPr>
            <w:rPr>
              <w:rFonts w:ascii="Cambria Math" w:hAnsi="Cambria Math"/>
              <w:szCs w:val="21"/>
            </w:rPr>
            <m:t>流动负债</m:t>
          </m:r>
        </m:oMath>
      </m:oMathPara>
    </w:p>
    <w:p w14:paraId="3FFCDBC0" w14:textId="77777777" w:rsidR="00395E0E" w:rsidRPr="00AC3B03" w:rsidRDefault="00395E0E" w:rsidP="009D1114">
      <w:pPr>
        <w:snapToGrid w:val="0"/>
        <w:spacing w:line="300" w:lineRule="auto"/>
        <w:ind w:firstLineChars="200" w:firstLine="420"/>
        <w:rPr>
          <w:rFonts w:ascii="宋体" w:hAnsi="宋体"/>
          <w:szCs w:val="21"/>
        </w:rPr>
      </w:pPr>
      <w:r w:rsidRPr="00AC3B03">
        <w:rPr>
          <w:rFonts w:ascii="宋体" w:hAnsi="宋体" w:hint="eastAsia"/>
          <w:szCs w:val="21"/>
        </w:rPr>
        <w:t>现金比率</w:t>
      </w:r>
      <w:r>
        <w:rPr>
          <w:rFonts w:ascii="宋体" w:hAnsi="宋体" w:hint="eastAsia"/>
          <w:szCs w:val="21"/>
        </w:rPr>
        <w:t>。</w:t>
      </w:r>
      <w:r w:rsidRPr="00AC3B03">
        <w:rPr>
          <w:rFonts w:ascii="宋体" w:hAnsi="宋体" w:hint="eastAsia"/>
          <w:szCs w:val="21"/>
        </w:rPr>
        <w:t>现金资产包括货币资金、交易性金融资产等可以直接偿债的资产。现金资产与流动负债的比值称为现金比率，其计算公式如下：</w:t>
      </w:r>
    </w:p>
    <w:p w14:paraId="628727EB" w14:textId="77777777" w:rsidR="00395E0E" w:rsidRDefault="00395E0E"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现金比率</m:t>
          </m:r>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货币资金</m:t>
              </m:r>
              <m:r>
                <m:rPr>
                  <m:sty m:val="p"/>
                </m:rPr>
                <w:rPr>
                  <w:rFonts w:ascii="Cambria Math" w:hAnsi="Cambria Math"/>
                  <w:szCs w:val="21"/>
                </w:rPr>
                <m:t>+</m:t>
              </m:r>
              <m:r>
                <m:rPr>
                  <m:sty m:val="p"/>
                </m:rPr>
                <w:rPr>
                  <w:rFonts w:ascii="Cambria Math" w:hAnsi="Cambria Math"/>
                  <w:szCs w:val="21"/>
                </w:rPr>
                <m:t>交易性金融资产</m:t>
              </m:r>
            </m:e>
          </m:d>
          <m:r>
            <m:rPr>
              <m:sty m:val="p"/>
            </m:rPr>
            <w:rPr>
              <w:rFonts w:ascii="Cambria Math" w:hAnsi="Cambria Math"/>
              <w:szCs w:val="21"/>
            </w:rPr>
            <m:t>÷</m:t>
          </m:r>
          <m:r>
            <m:rPr>
              <m:sty m:val="p"/>
            </m:rPr>
            <w:rPr>
              <w:rFonts w:ascii="Cambria Math" w:hAnsi="Cambria Math"/>
              <w:szCs w:val="21"/>
            </w:rPr>
            <m:t>流动负债</m:t>
          </m:r>
        </m:oMath>
      </m:oMathPara>
    </w:p>
    <w:p w14:paraId="76135409" w14:textId="77777777" w:rsidR="00395E0E" w:rsidRPr="00AC3B03" w:rsidRDefault="00395E0E" w:rsidP="009D1114">
      <w:pPr>
        <w:snapToGrid w:val="0"/>
        <w:spacing w:line="300" w:lineRule="auto"/>
        <w:ind w:firstLineChars="200" w:firstLine="420"/>
        <w:rPr>
          <w:rFonts w:ascii="宋体" w:hAnsi="宋体"/>
          <w:szCs w:val="21"/>
        </w:rPr>
      </w:pPr>
      <w:r w:rsidRPr="00AC3B03">
        <w:rPr>
          <w:rFonts w:ascii="宋体" w:hAnsi="宋体" w:hint="eastAsia"/>
          <w:szCs w:val="21"/>
        </w:rPr>
        <w:t>现金流量比率指标</w:t>
      </w:r>
      <w:r>
        <w:rPr>
          <w:rFonts w:ascii="宋体" w:hAnsi="宋体" w:hint="eastAsia"/>
          <w:szCs w:val="21"/>
        </w:rPr>
        <w:t>。</w:t>
      </w:r>
      <w:r w:rsidRPr="00AC3B03">
        <w:rPr>
          <w:rFonts w:ascii="宋体" w:hAnsi="宋体" w:hint="eastAsia"/>
          <w:szCs w:val="21"/>
        </w:rPr>
        <w:t>现金流量比率是经营活动现金净流量与流动负债的比率，该指标能</w:t>
      </w:r>
      <w:r w:rsidRPr="00AC3B03">
        <w:rPr>
          <w:rFonts w:ascii="宋体" w:hAnsi="宋体" w:hint="eastAsia"/>
          <w:szCs w:val="21"/>
        </w:rPr>
        <w:lastRenderedPageBreak/>
        <w:t>够更准确地反映企业的短期偿债能力。其计算公式如下：</w:t>
      </w:r>
    </w:p>
    <w:p w14:paraId="5E8BCC29" w14:textId="77777777" w:rsidR="00395E0E" w:rsidRPr="00AC3B03" w:rsidRDefault="00395E0E"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现金流量比率</m:t>
          </m:r>
          <m:r>
            <m:rPr>
              <m:sty m:val="p"/>
            </m:rPr>
            <w:rPr>
              <w:rFonts w:ascii="Cambria Math" w:hAnsi="Cambria Math"/>
              <w:szCs w:val="21"/>
            </w:rPr>
            <m:t>=</m:t>
          </m:r>
          <m:r>
            <m:rPr>
              <m:sty m:val="p"/>
            </m:rPr>
            <w:rPr>
              <w:rFonts w:ascii="Cambria Math" w:hAnsi="Cambria Math"/>
              <w:szCs w:val="21"/>
            </w:rPr>
            <m:t>经营活动现金流量净额</m:t>
          </m:r>
          <m:r>
            <m:rPr>
              <m:sty m:val="p"/>
            </m:rPr>
            <w:rPr>
              <w:rFonts w:ascii="Cambria Math" w:hAnsi="Cambria Math"/>
              <w:szCs w:val="21"/>
            </w:rPr>
            <m:t>÷</m:t>
          </m:r>
          <m:r>
            <m:rPr>
              <m:sty m:val="p"/>
            </m:rPr>
            <w:rPr>
              <w:rFonts w:ascii="Cambria Math" w:hAnsi="Cambria Math"/>
              <w:szCs w:val="21"/>
            </w:rPr>
            <m:t>流动负债</m:t>
          </m:r>
        </m:oMath>
      </m:oMathPara>
    </w:p>
    <w:p w14:paraId="34243A81" w14:textId="77777777" w:rsidR="00AA4E7B" w:rsidRPr="00AC3B03" w:rsidRDefault="00395E0E" w:rsidP="009D1114">
      <w:pPr>
        <w:snapToGrid w:val="0"/>
        <w:spacing w:line="300" w:lineRule="auto"/>
        <w:ind w:firstLineChars="200" w:firstLine="420"/>
        <w:rPr>
          <w:rFonts w:ascii="宋体" w:hAnsi="宋体"/>
          <w:szCs w:val="21"/>
        </w:rPr>
      </w:pPr>
      <w:r>
        <w:rPr>
          <w:rFonts w:ascii="宋体" w:hAnsi="宋体" w:hint="eastAsia"/>
          <w:szCs w:val="21"/>
        </w:rPr>
        <w:t>（</w:t>
      </w:r>
      <w:r w:rsidR="008C7940">
        <w:rPr>
          <w:rFonts w:ascii="宋体" w:hAnsi="宋体" w:hint="eastAsia"/>
          <w:szCs w:val="21"/>
        </w:rPr>
        <w:t>2</w:t>
      </w:r>
      <w:r>
        <w:rPr>
          <w:rFonts w:ascii="宋体" w:hAnsi="宋体" w:hint="eastAsia"/>
          <w:szCs w:val="21"/>
        </w:rPr>
        <w:t>）</w:t>
      </w:r>
      <w:r w:rsidR="00AA4E7B" w:rsidRPr="00AC3B03">
        <w:rPr>
          <w:rFonts w:ascii="宋体" w:hAnsi="宋体" w:hint="eastAsia"/>
          <w:szCs w:val="21"/>
        </w:rPr>
        <w:t>长期偿债能力</w:t>
      </w:r>
      <w:r w:rsidR="00AA4E7B">
        <w:rPr>
          <w:rFonts w:ascii="宋体" w:hAnsi="宋体" w:hint="eastAsia"/>
          <w:szCs w:val="21"/>
        </w:rPr>
        <w:t>指标</w:t>
      </w:r>
      <w:r w:rsidR="00554357">
        <w:rPr>
          <w:rFonts w:ascii="宋体" w:hAnsi="宋体" w:hint="eastAsia"/>
          <w:szCs w:val="21"/>
        </w:rPr>
        <w:t>。</w:t>
      </w:r>
      <w:r w:rsidR="00AA4E7B" w:rsidRPr="00AC3B03">
        <w:rPr>
          <w:rFonts w:ascii="宋体" w:hAnsi="宋体" w:hint="eastAsia"/>
          <w:szCs w:val="21"/>
        </w:rPr>
        <w:t>资产负债率</w:t>
      </w:r>
      <w:r w:rsidR="00AA4E7B">
        <w:rPr>
          <w:rFonts w:ascii="宋体" w:hAnsi="宋体" w:hint="eastAsia"/>
          <w:szCs w:val="21"/>
        </w:rPr>
        <w:t>。</w:t>
      </w:r>
      <w:r w:rsidR="00AA4E7B" w:rsidRPr="00AC3B03">
        <w:rPr>
          <w:rFonts w:ascii="宋体" w:hAnsi="宋体" w:hint="eastAsia"/>
          <w:szCs w:val="21"/>
        </w:rPr>
        <w:t>资产负债率是负债总额与资产总额的比率</w:t>
      </w:r>
      <w:r w:rsidR="00AA4E7B">
        <w:rPr>
          <w:rFonts w:ascii="宋体" w:hAnsi="宋体" w:hint="eastAsia"/>
          <w:szCs w:val="21"/>
        </w:rPr>
        <w:t>，</w:t>
      </w:r>
      <w:r w:rsidR="00AA4E7B" w:rsidRPr="00AC3B03">
        <w:rPr>
          <w:rFonts w:ascii="宋体" w:hAnsi="宋体" w:hint="eastAsia"/>
          <w:szCs w:val="21"/>
        </w:rPr>
        <w:t>其计算公式如下：</w:t>
      </w:r>
    </w:p>
    <w:p w14:paraId="6CE53922" w14:textId="77777777" w:rsidR="00AA4E7B"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资产负债率</m:t>
          </m:r>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总负债</m:t>
              </m:r>
              <m:r>
                <m:rPr>
                  <m:sty m:val="p"/>
                </m:rPr>
                <w:rPr>
                  <w:rFonts w:ascii="Cambria Math" w:hAnsi="Cambria Math"/>
                  <w:szCs w:val="21"/>
                </w:rPr>
                <m:t>÷</m:t>
              </m:r>
              <m:r>
                <m:rPr>
                  <m:sty m:val="p"/>
                </m:rPr>
                <w:rPr>
                  <w:rFonts w:ascii="Cambria Math" w:hAnsi="Cambria Math"/>
                  <w:szCs w:val="21"/>
                </w:rPr>
                <m:t>总资产</m:t>
              </m:r>
            </m:e>
          </m:d>
          <m:r>
            <m:rPr>
              <m:sty m:val="p"/>
            </m:rPr>
            <w:rPr>
              <w:rFonts w:ascii="Cambria Math" w:hAnsi="Cambria Math"/>
              <w:szCs w:val="21"/>
            </w:rPr>
            <m:t>×100%</m:t>
          </m:r>
        </m:oMath>
      </m:oMathPara>
    </w:p>
    <w:p w14:paraId="30CDB820" w14:textId="77777777" w:rsidR="00AA4E7B" w:rsidRPr="00AC3B03" w:rsidRDefault="00AA4E7B" w:rsidP="009D1114">
      <w:pPr>
        <w:snapToGrid w:val="0"/>
        <w:spacing w:line="300" w:lineRule="auto"/>
        <w:ind w:firstLineChars="200" w:firstLine="420"/>
        <w:rPr>
          <w:rFonts w:ascii="宋体" w:hAnsi="宋体"/>
          <w:szCs w:val="21"/>
        </w:rPr>
      </w:pPr>
      <w:r w:rsidRPr="00AC3B03">
        <w:rPr>
          <w:rFonts w:ascii="宋体" w:hAnsi="宋体" w:hint="eastAsia"/>
          <w:szCs w:val="21"/>
        </w:rPr>
        <w:t>产权比率和权益乘数</w:t>
      </w:r>
      <w:r>
        <w:rPr>
          <w:rFonts w:ascii="宋体" w:hAnsi="宋体" w:hint="eastAsia"/>
          <w:szCs w:val="21"/>
        </w:rPr>
        <w:t>。</w:t>
      </w:r>
      <w:r w:rsidRPr="00AC3B03">
        <w:rPr>
          <w:rFonts w:ascii="宋体" w:hAnsi="宋体" w:hint="eastAsia"/>
          <w:szCs w:val="21"/>
        </w:rPr>
        <w:t>产权比率和权益乘数是资产负债率的另外两种形式，它和资产负债率的性质一样，其公式如下：</w:t>
      </w:r>
    </w:p>
    <w:p w14:paraId="5F1D7751" w14:textId="77777777" w:rsidR="00AA4E7B" w:rsidRPr="00AC3B03"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产权比率</m:t>
          </m:r>
          <m:r>
            <m:rPr>
              <m:sty m:val="p"/>
            </m:rPr>
            <w:rPr>
              <w:rFonts w:ascii="Cambria Math" w:hAnsi="Cambria Math"/>
              <w:szCs w:val="21"/>
            </w:rPr>
            <m:t>=</m:t>
          </m:r>
          <m:r>
            <m:rPr>
              <m:sty m:val="p"/>
            </m:rPr>
            <w:rPr>
              <w:rFonts w:ascii="Cambria Math" w:hAnsi="Cambria Math"/>
              <w:szCs w:val="21"/>
            </w:rPr>
            <m:t>总负债</m:t>
          </m:r>
          <m:r>
            <m:rPr>
              <m:sty m:val="p"/>
            </m:rPr>
            <w:rPr>
              <w:rFonts w:ascii="Cambria Math" w:hAnsi="Cambria Math"/>
              <w:szCs w:val="21"/>
            </w:rPr>
            <m:t>÷</m:t>
          </m:r>
          <m:r>
            <m:rPr>
              <m:sty m:val="p"/>
            </m:rPr>
            <w:rPr>
              <w:rFonts w:ascii="Cambria Math" w:hAnsi="Cambria Math"/>
              <w:szCs w:val="21"/>
            </w:rPr>
            <m:t>股东权益</m:t>
          </m:r>
        </m:oMath>
      </m:oMathPara>
    </w:p>
    <w:p w14:paraId="08775A83" w14:textId="77777777" w:rsidR="00AA4E7B"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权益乘数</m:t>
          </m:r>
          <m:r>
            <m:rPr>
              <m:sty m:val="p"/>
            </m:rPr>
            <w:rPr>
              <w:rFonts w:ascii="Cambria Math" w:hAnsi="Cambria Math"/>
              <w:szCs w:val="21"/>
            </w:rPr>
            <m:t>=</m:t>
          </m:r>
          <m:r>
            <m:rPr>
              <m:sty m:val="p"/>
            </m:rPr>
            <w:rPr>
              <w:rFonts w:ascii="Cambria Math" w:hAnsi="Cambria Math"/>
              <w:szCs w:val="21"/>
            </w:rPr>
            <m:t>总资产</m:t>
          </m:r>
          <m:r>
            <m:rPr>
              <m:sty m:val="p"/>
            </m:rPr>
            <w:rPr>
              <w:rFonts w:ascii="Cambria Math" w:hAnsi="Cambria Math"/>
              <w:szCs w:val="21"/>
            </w:rPr>
            <m:t>÷</m:t>
          </m:r>
          <m:r>
            <m:rPr>
              <m:sty m:val="p"/>
            </m:rPr>
            <w:rPr>
              <w:rFonts w:ascii="Cambria Math" w:hAnsi="Cambria Math"/>
              <w:szCs w:val="21"/>
            </w:rPr>
            <m:t>股东权益</m:t>
          </m:r>
        </m:oMath>
      </m:oMathPara>
    </w:p>
    <w:p w14:paraId="65D7FF45" w14:textId="77777777" w:rsidR="00AA4E7B" w:rsidRPr="00AC3B03" w:rsidRDefault="00AA4E7B" w:rsidP="009D1114">
      <w:pPr>
        <w:snapToGrid w:val="0"/>
        <w:spacing w:line="300" w:lineRule="auto"/>
        <w:ind w:firstLineChars="200" w:firstLine="420"/>
        <w:rPr>
          <w:rFonts w:ascii="宋体" w:hAnsi="宋体"/>
          <w:szCs w:val="21"/>
        </w:rPr>
      </w:pPr>
      <w:r w:rsidRPr="00AC3B03">
        <w:rPr>
          <w:rFonts w:ascii="宋体" w:hAnsi="宋体" w:hint="eastAsia"/>
          <w:szCs w:val="21"/>
        </w:rPr>
        <w:t>长期资本负债率</w:t>
      </w:r>
      <w:r>
        <w:rPr>
          <w:rFonts w:ascii="宋体" w:hAnsi="宋体" w:hint="eastAsia"/>
          <w:szCs w:val="21"/>
        </w:rPr>
        <w:t>。</w:t>
      </w:r>
      <w:r w:rsidRPr="00AC3B03">
        <w:rPr>
          <w:rFonts w:ascii="宋体" w:hAnsi="宋体" w:hint="eastAsia"/>
          <w:szCs w:val="21"/>
        </w:rPr>
        <w:t>长期资本负债率是指非流动负债占长期资本的百分比，其计算公式如下：</w:t>
      </w:r>
    </w:p>
    <w:p w14:paraId="2A68F64D" w14:textId="77777777" w:rsidR="00AA4E7B" w:rsidRPr="00AC3B03"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长期资本负债率</m:t>
          </m:r>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非流动负债</m:t>
              </m:r>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非流动负债</m:t>
                  </m:r>
                  <m:r>
                    <m:rPr>
                      <m:sty m:val="p"/>
                    </m:rPr>
                    <w:rPr>
                      <w:rFonts w:ascii="Cambria Math" w:hAnsi="Cambria Math"/>
                      <w:szCs w:val="21"/>
                    </w:rPr>
                    <m:t>+</m:t>
                  </m:r>
                  <m:r>
                    <m:rPr>
                      <m:sty m:val="p"/>
                    </m:rPr>
                    <w:rPr>
                      <w:rFonts w:ascii="Cambria Math" w:hAnsi="Cambria Math"/>
                      <w:szCs w:val="21"/>
                    </w:rPr>
                    <m:t>股东权益</m:t>
                  </m:r>
                </m:e>
              </m:d>
            </m:e>
          </m:d>
          <m:r>
            <m:rPr>
              <m:sty m:val="p"/>
            </m:rPr>
            <w:rPr>
              <w:rFonts w:ascii="Cambria Math" w:hAnsi="Cambria Math"/>
              <w:szCs w:val="21"/>
            </w:rPr>
            <m:t>×100%</m:t>
          </m:r>
        </m:oMath>
      </m:oMathPara>
    </w:p>
    <w:p w14:paraId="17BDA198" w14:textId="77777777" w:rsidR="00AA4E7B" w:rsidRPr="00AC3B03" w:rsidRDefault="00AA4E7B" w:rsidP="009D1114">
      <w:pPr>
        <w:snapToGrid w:val="0"/>
        <w:spacing w:line="300" w:lineRule="auto"/>
        <w:ind w:firstLineChars="200" w:firstLine="420"/>
        <w:rPr>
          <w:rFonts w:ascii="宋体" w:hAnsi="宋体"/>
          <w:szCs w:val="21"/>
        </w:rPr>
      </w:pPr>
      <w:r w:rsidRPr="00AC3B03">
        <w:rPr>
          <w:rFonts w:ascii="宋体" w:hAnsi="宋体" w:hint="eastAsia"/>
          <w:szCs w:val="21"/>
        </w:rPr>
        <w:t>利息保障倍数</w:t>
      </w:r>
      <w:r>
        <w:rPr>
          <w:rFonts w:ascii="宋体" w:hAnsi="宋体" w:hint="eastAsia"/>
          <w:szCs w:val="21"/>
        </w:rPr>
        <w:t>。</w:t>
      </w:r>
      <w:r w:rsidRPr="00AC3B03">
        <w:rPr>
          <w:rFonts w:ascii="宋体" w:hAnsi="宋体" w:hint="eastAsia"/>
          <w:szCs w:val="21"/>
        </w:rPr>
        <w:t>利息保障倍数是指息税前利润对利息费用的倍数。其计算公式如下：</w:t>
      </w:r>
    </w:p>
    <w:p w14:paraId="60ED11D8" w14:textId="77777777" w:rsidR="00AA4E7B" w:rsidRPr="00AC3B03"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利息保障倍数</m:t>
          </m:r>
          <m:r>
            <m:rPr>
              <m:sty m:val="p"/>
            </m:rPr>
            <w:rPr>
              <w:rFonts w:ascii="Cambria Math" w:hAnsi="Cambria Math"/>
              <w:szCs w:val="21"/>
            </w:rPr>
            <m:t>=</m:t>
          </m:r>
          <m:r>
            <m:rPr>
              <m:sty m:val="p"/>
            </m:rPr>
            <w:rPr>
              <w:rFonts w:ascii="Cambria Math" w:hAnsi="Cambria Math"/>
              <w:szCs w:val="21"/>
            </w:rPr>
            <m:t>息税前利润</m:t>
          </m:r>
          <m:r>
            <m:rPr>
              <m:sty m:val="p"/>
            </m:rPr>
            <w:rPr>
              <w:rFonts w:ascii="Cambria Math" w:hAnsi="Cambria Math"/>
              <w:szCs w:val="21"/>
            </w:rPr>
            <m:t>÷</m:t>
          </m:r>
          <m:r>
            <m:rPr>
              <m:sty m:val="p"/>
            </m:rPr>
            <w:rPr>
              <w:rFonts w:ascii="Cambria Math" w:hAnsi="Cambria Math"/>
              <w:szCs w:val="21"/>
            </w:rPr>
            <m:t>利息费用</m:t>
          </m:r>
        </m:oMath>
      </m:oMathPara>
    </w:p>
    <w:p w14:paraId="01D26C35" w14:textId="77777777" w:rsidR="00AA4E7B" w:rsidRPr="00AC3B03"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净利润</m:t>
              </m:r>
              <m:r>
                <m:rPr>
                  <m:sty m:val="p"/>
                </m:rPr>
                <w:rPr>
                  <w:rFonts w:ascii="Cambria Math" w:hAnsi="Cambria Math"/>
                  <w:szCs w:val="21"/>
                </w:rPr>
                <m:t>+</m:t>
              </m:r>
              <m:r>
                <m:rPr>
                  <m:sty m:val="p"/>
                </m:rPr>
                <w:rPr>
                  <w:rFonts w:ascii="Cambria Math" w:hAnsi="Cambria Math"/>
                  <w:szCs w:val="21"/>
                </w:rPr>
                <m:t>利息费用</m:t>
              </m:r>
              <m:r>
                <m:rPr>
                  <m:sty m:val="p"/>
                </m:rPr>
                <w:rPr>
                  <w:rFonts w:ascii="Cambria Math" w:hAnsi="Cambria Math"/>
                  <w:szCs w:val="21"/>
                </w:rPr>
                <m:t>+</m:t>
              </m:r>
              <m:r>
                <m:rPr>
                  <m:sty m:val="p"/>
                </m:rPr>
                <w:rPr>
                  <w:rFonts w:ascii="Cambria Math" w:hAnsi="Cambria Math"/>
                  <w:szCs w:val="21"/>
                </w:rPr>
                <m:t>所得税费用</m:t>
              </m:r>
            </m:e>
          </m:d>
          <m:r>
            <m:rPr>
              <m:sty m:val="p"/>
            </m:rPr>
            <w:rPr>
              <w:rFonts w:ascii="Cambria Math" w:hAnsi="Cambria Math"/>
              <w:szCs w:val="21"/>
            </w:rPr>
            <m:t>÷</m:t>
          </m:r>
          <m:r>
            <m:rPr>
              <m:sty m:val="p"/>
            </m:rPr>
            <w:rPr>
              <w:rFonts w:ascii="Cambria Math" w:hAnsi="Cambria Math"/>
              <w:szCs w:val="21"/>
            </w:rPr>
            <m:t>利息费用</m:t>
          </m:r>
        </m:oMath>
      </m:oMathPara>
    </w:p>
    <w:p w14:paraId="008DCD7A" w14:textId="77777777" w:rsidR="00AA4E7B" w:rsidRPr="00AC3B03" w:rsidRDefault="00AA4E7B" w:rsidP="009D1114">
      <w:pPr>
        <w:snapToGrid w:val="0"/>
        <w:spacing w:line="300" w:lineRule="auto"/>
        <w:ind w:firstLineChars="200" w:firstLine="420"/>
        <w:rPr>
          <w:rFonts w:ascii="宋体" w:hAnsi="宋体"/>
          <w:szCs w:val="21"/>
        </w:rPr>
      </w:pPr>
      <w:r w:rsidRPr="00AC3B03">
        <w:rPr>
          <w:rFonts w:ascii="宋体" w:hAnsi="宋体" w:hint="eastAsia"/>
          <w:szCs w:val="21"/>
        </w:rPr>
        <w:t>现金流量利息保障倍数</w:t>
      </w:r>
      <w:r>
        <w:rPr>
          <w:rFonts w:ascii="宋体" w:hAnsi="宋体" w:hint="eastAsia"/>
          <w:szCs w:val="21"/>
        </w:rPr>
        <w:t>。</w:t>
      </w:r>
      <w:r w:rsidRPr="00AC3B03">
        <w:rPr>
          <w:rFonts w:ascii="宋体" w:hAnsi="宋体" w:hint="eastAsia"/>
          <w:szCs w:val="21"/>
        </w:rPr>
        <w:t>现金流量利息保障倍数，是指经营活动现金净流量净额对利息费用的倍数。其计算公式如下：</w:t>
      </w:r>
    </w:p>
    <w:p w14:paraId="5B1078D8" w14:textId="77777777" w:rsidR="00AA4E7B" w:rsidRPr="00AC3B03"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现金流量利息保障倍数</m:t>
          </m:r>
          <m:r>
            <m:rPr>
              <m:sty m:val="p"/>
            </m:rPr>
            <w:rPr>
              <w:rFonts w:ascii="Cambria Math" w:hAnsi="Cambria Math"/>
              <w:szCs w:val="21"/>
            </w:rPr>
            <m:t>=</m:t>
          </m:r>
          <m:r>
            <m:rPr>
              <m:sty m:val="p"/>
            </m:rPr>
            <w:rPr>
              <w:rFonts w:ascii="Cambria Math" w:hAnsi="Cambria Math"/>
              <w:szCs w:val="21"/>
            </w:rPr>
            <m:t>经营现金活动流量净额</m:t>
          </m:r>
          <m:r>
            <m:rPr>
              <m:sty m:val="p"/>
            </m:rPr>
            <w:rPr>
              <w:rFonts w:ascii="Cambria Math" w:hAnsi="Cambria Math"/>
              <w:szCs w:val="21"/>
            </w:rPr>
            <m:t>÷</m:t>
          </m:r>
          <m:r>
            <m:rPr>
              <m:sty m:val="p"/>
            </m:rPr>
            <w:rPr>
              <w:rFonts w:ascii="Cambria Math" w:hAnsi="Cambria Math"/>
              <w:szCs w:val="21"/>
            </w:rPr>
            <m:t>利息费用</m:t>
          </m:r>
        </m:oMath>
      </m:oMathPara>
    </w:p>
    <w:p w14:paraId="21F8D7CC" w14:textId="77777777" w:rsidR="00AA4E7B" w:rsidRPr="00AC3B03" w:rsidRDefault="00AA4E7B" w:rsidP="009D1114">
      <w:pPr>
        <w:snapToGrid w:val="0"/>
        <w:spacing w:line="300" w:lineRule="auto"/>
        <w:ind w:firstLineChars="200" w:firstLine="420"/>
        <w:rPr>
          <w:rFonts w:ascii="宋体" w:hAnsi="宋体"/>
          <w:szCs w:val="21"/>
        </w:rPr>
      </w:pPr>
      <w:r w:rsidRPr="00AC3B03">
        <w:rPr>
          <w:rFonts w:ascii="宋体" w:hAnsi="宋体" w:hint="eastAsia"/>
          <w:szCs w:val="21"/>
        </w:rPr>
        <w:t>现金流量债务比</w:t>
      </w:r>
      <w:r>
        <w:rPr>
          <w:rFonts w:ascii="宋体" w:hAnsi="宋体" w:hint="eastAsia"/>
          <w:szCs w:val="21"/>
        </w:rPr>
        <w:t>。</w:t>
      </w:r>
      <w:r w:rsidRPr="00AC3B03">
        <w:rPr>
          <w:rFonts w:ascii="宋体" w:hAnsi="宋体" w:hint="eastAsia"/>
          <w:szCs w:val="21"/>
        </w:rPr>
        <w:t>现金流量债务比，是指经营活动现金流量净额与债务总额的比率。其计算公式如下：</w:t>
      </w:r>
    </w:p>
    <w:p w14:paraId="627B71F7" w14:textId="77777777" w:rsidR="00AA4E7B" w:rsidRPr="00AC3B03" w:rsidRDefault="00AA4E7B" w:rsidP="009D1114">
      <w:pPr>
        <w:snapToGrid w:val="0"/>
        <w:spacing w:line="300" w:lineRule="auto"/>
        <w:ind w:firstLineChars="200" w:firstLine="420"/>
        <w:rPr>
          <w:rFonts w:ascii="宋体" w:hAnsi="宋体"/>
          <w:szCs w:val="21"/>
        </w:rPr>
      </w:pPr>
      <m:oMathPara>
        <m:oMath>
          <m:r>
            <m:rPr>
              <m:sty m:val="p"/>
            </m:rPr>
            <w:rPr>
              <w:rFonts w:ascii="Cambria Math" w:hAnsi="Cambria Math"/>
              <w:szCs w:val="21"/>
            </w:rPr>
            <m:t>现金流量债务比</m:t>
          </m:r>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经营活动现金流量净额</m:t>
              </m:r>
              <m:r>
                <m:rPr>
                  <m:sty m:val="p"/>
                </m:rPr>
                <w:rPr>
                  <w:rFonts w:ascii="Cambria Math" w:hAnsi="Cambria Math"/>
                  <w:szCs w:val="21"/>
                </w:rPr>
                <m:t>÷</m:t>
              </m:r>
              <m:r>
                <m:rPr>
                  <m:sty m:val="p"/>
                </m:rPr>
                <w:rPr>
                  <w:rFonts w:ascii="Cambria Math" w:hAnsi="Cambria Math"/>
                  <w:szCs w:val="21"/>
                </w:rPr>
                <m:t>债务总额</m:t>
              </m:r>
            </m:e>
          </m:d>
          <m:r>
            <m:rPr>
              <m:sty m:val="p"/>
            </m:rPr>
            <w:rPr>
              <w:rFonts w:ascii="Cambria Math" w:hAnsi="Cambria Math"/>
              <w:szCs w:val="21"/>
            </w:rPr>
            <m:t>×100%</m:t>
          </m:r>
        </m:oMath>
      </m:oMathPara>
    </w:p>
    <w:p w14:paraId="34D00E29" w14:textId="77777777" w:rsidR="00395E0E" w:rsidRPr="00490D09" w:rsidRDefault="00395E0E" w:rsidP="009D1114">
      <w:pPr>
        <w:pStyle w:val="4"/>
        <w:spacing w:before="120" w:after="120" w:line="300" w:lineRule="auto"/>
        <w:rPr>
          <w:rFonts w:ascii="宋体" w:eastAsia="宋体" w:hAnsi="宋体"/>
          <w:sz w:val="21"/>
          <w:szCs w:val="21"/>
        </w:rPr>
      </w:pPr>
      <w:r w:rsidRPr="00490D09">
        <w:rPr>
          <w:rFonts w:ascii="宋体" w:eastAsia="宋体" w:hAnsi="宋体" w:hint="eastAsia"/>
          <w:sz w:val="21"/>
          <w:szCs w:val="21"/>
        </w:rPr>
        <w:t>3．</w:t>
      </w:r>
      <w:r w:rsidR="00AA4E7B" w:rsidRPr="00490D09">
        <w:rPr>
          <w:rFonts w:ascii="宋体" w:eastAsia="宋体" w:hAnsi="宋体" w:hint="eastAsia"/>
          <w:kern w:val="0"/>
          <w:sz w:val="21"/>
          <w:szCs w:val="21"/>
        </w:rPr>
        <w:t>简述短期偿债能力和长期偿债能力的关系。</w:t>
      </w:r>
    </w:p>
    <w:p w14:paraId="2CBC1748" w14:textId="77777777" w:rsidR="008C7940" w:rsidRDefault="00395E0E" w:rsidP="009D1114">
      <w:pPr>
        <w:spacing w:line="300" w:lineRule="auto"/>
        <w:ind w:firstLineChars="200" w:firstLine="420"/>
        <w:rPr>
          <w:rFonts w:ascii="宋体" w:hAnsi="宋体"/>
          <w:kern w:val="0"/>
          <w:szCs w:val="21"/>
        </w:rPr>
      </w:pPr>
      <w:r w:rsidRPr="008733B7">
        <w:rPr>
          <w:rFonts w:ascii="宋体" w:hAnsi="宋体" w:hint="eastAsia"/>
          <w:szCs w:val="21"/>
        </w:rPr>
        <w:t>（</w:t>
      </w:r>
      <w:r w:rsidR="008C7940">
        <w:rPr>
          <w:rFonts w:ascii="宋体" w:hAnsi="宋体" w:hint="eastAsia"/>
          <w:szCs w:val="21"/>
        </w:rPr>
        <w:t>1</w:t>
      </w:r>
      <w:r w:rsidRPr="008733B7">
        <w:rPr>
          <w:rFonts w:ascii="宋体" w:hAnsi="宋体" w:hint="eastAsia"/>
          <w:szCs w:val="21"/>
        </w:rPr>
        <w:t>）</w:t>
      </w:r>
      <w:r w:rsidR="008C7940" w:rsidRPr="008C7940">
        <w:rPr>
          <w:rFonts w:ascii="宋体" w:hAnsi="宋体" w:hint="eastAsia"/>
          <w:kern w:val="0"/>
          <w:szCs w:val="21"/>
        </w:rPr>
        <w:t>短期偿债能力和长期偿债能力的区别。</w:t>
      </w:r>
    </w:p>
    <w:p w14:paraId="46D5FD92" w14:textId="77777777" w:rsidR="008C7940" w:rsidRDefault="00554357" w:rsidP="009D1114">
      <w:pPr>
        <w:snapToGrid w:val="0"/>
        <w:spacing w:line="300" w:lineRule="auto"/>
        <w:ind w:firstLineChars="200" w:firstLine="420"/>
        <w:jc w:val="left"/>
        <w:rPr>
          <w:rFonts w:ascii="宋体" w:hAnsi="宋体"/>
          <w:szCs w:val="21"/>
        </w:rPr>
      </w:pPr>
      <w:r>
        <w:rPr>
          <w:rFonts w:ascii="宋体" w:hAnsi="宋体" w:hint="eastAsia"/>
          <w:szCs w:val="21"/>
        </w:rPr>
        <w:t xml:space="preserve">① </w:t>
      </w:r>
      <w:r w:rsidR="008C7940" w:rsidRPr="00AC3B03">
        <w:rPr>
          <w:rFonts w:ascii="宋体" w:hAnsi="宋体" w:hint="eastAsia"/>
          <w:szCs w:val="21"/>
        </w:rPr>
        <w:t>短期偿债能力反映的是企业对偿还期限在一年或超过一年的一个营业周期以内的短期债务的偿付能力；而长期偿债能力反映企业对偿付期限在一年以上的债务的偿付能力。</w:t>
      </w:r>
      <w:r w:rsidR="008C7940">
        <w:rPr>
          <w:rFonts w:ascii="宋体" w:hAnsi="宋体" w:hint="eastAsia"/>
          <w:szCs w:val="21"/>
        </w:rPr>
        <w:t xml:space="preserve"> </w:t>
      </w:r>
    </w:p>
    <w:p w14:paraId="1A6DB0C5" w14:textId="77777777" w:rsidR="008C7940" w:rsidRDefault="00554357" w:rsidP="009D1114">
      <w:pPr>
        <w:snapToGrid w:val="0"/>
        <w:spacing w:line="300" w:lineRule="auto"/>
        <w:ind w:firstLineChars="200" w:firstLine="420"/>
        <w:jc w:val="left"/>
        <w:rPr>
          <w:rFonts w:ascii="宋体" w:hAnsi="宋体"/>
          <w:szCs w:val="21"/>
        </w:rPr>
      </w:pPr>
      <w:r>
        <w:rPr>
          <w:rFonts w:ascii="宋体" w:hAnsi="宋体" w:hint="eastAsia"/>
          <w:szCs w:val="21"/>
        </w:rPr>
        <w:t xml:space="preserve">② </w:t>
      </w:r>
      <w:r w:rsidR="008C7940" w:rsidRPr="00AC3B03">
        <w:rPr>
          <w:rFonts w:ascii="宋体" w:hAnsi="宋体" w:hint="eastAsia"/>
          <w:szCs w:val="21"/>
        </w:rPr>
        <w:t>短期偿债能力所涉及的债务偿付一般是企业的流动性支出，由于具有较大的波动性从而使企业的短期偿债能力也呈现较大的波动性；而长期偿债能力所涉及的债务偿付一般为企业的固定性支出，只要企业的资金结构与获利能力不发生显著变化，则企业的长期偿债能力会呈现相对稳定性。</w:t>
      </w:r>
    </w:p>
    <w:p w14:paraId="7D232A2A" w14:textId="77777777" w:rsidR="008C7940" w:rsidRPr="00AC3B03" w:rsidRDefault="00554357" w:rsidP="009D1114">
      <w:pPr>
        <w:snapToGrid w:val="0"/>
        <w:spacing w:line="300" w:lineRule="auto"/>
        <w:ind w:firstLineChars="200" w:firstLine="420"/>
        <w:jc w:val="left"/>
        <w:rPr>
          <w:rFonts w:ascii="宋体" w:hAnsi="宋体"/>
          <w:szCs w:val="21"/>
        </w:rPr>
      </w:pPr>
      <w:r>
        <w:rPr>
          <w:rFonts w:ascii="宋体" w:hAnsi="宋体" w:hint="eastAsia"/>
          <w:szCs w:val="21"/>
        </w:rPr>
        <w:t xml:space="preserve">③ </w:t>
      </w:r>
      <w:r w:rsidR="008C7940" w:rsidRPr="00AC3B03">
        <w:rPr>
          <w:rFonts w:ascii="宋体" w:hAnsi="宋体" w:hint="eastAsia"/>
          <w:szCs w:val="21"/>
        </w:rPr>
        <w:t>短期偿债能力一般动用企业的流动资产偿付债务，因此，短期偿债能力分析主要关注流动资产对流动负债的保障程度；而长期偿债能力的债务偿付保证一般</w:t>
      </w:r>
      <w:r w:rsidR="008C7940">
        <w:rPr>
          <w:rFonts w:ascii="宋体" w:hAnsi="宋体" w:hint="eastAsia"/>
          <w:szCs w:val="21"/>
        </w:rPr>
        <w:t>表现</w:t>
      </w:r>
      <w:r w:rsidR="008C7940" w:rsidRPr="00AC3B03">
        <w:rPr>
          <w:rFonts w:ascii="宋体" w:hAnsi="宋体" w:hint="eastAsia"/>
          <w:szCs w:val="21"/>
        </w:rPr>
        <w:t>为企业未来产生的现金流入，因此，企业资产和负债结构以及盈利能力都是企业长期偿债能力的决定因素。</w:t>
      </w:r>
    </w:p>
    <w:p w14:paraId="49157ABA" w14:textId="77777777" w:rsidR="008C7940" w:rsidRDefault="00395E0E" w:rsidP="009D1114">
      <w:pPr>
        <w:spacing w:line="300" w:lineRule="auto"/>
        <w:ind w:firstLineChars="200" w:firstLine="420"/>
        <w:rPr>
          <w:rFonts w:ascii="宋体" w:hAnsi="宋体"/>
          <w:kern w:val="0"/>
          <w:szCs w:val="21"/>
        </w:rPr>
      </w:pPr>
      <w:r w:rsidRPr="008733B7">
        <w:rPr>
          <w:rFonts w:ascii="宋体" w:hAnsi="宋体" w:hint="eastAsia"/>
          <w:szCs w:val="21"/>
        </w:rPr>
        <w:t>（</w:t>
      </w:r>
      <w:r w:rsidR="008C7940">
        <w:rPr>
          <w:rFonts w:ascii="宋体" w:hAnsi="宋体" w:hint="eastAsia"/>
          <w:szCs w:val="21"/>
        </w:rPr>
        <w:t>2</w:t>
      </w:r>
      <w:r w:rsidRPr="008733B7">
        <w:rPr>
          <w:rFonts w:ascii="宋体" w:hAnsi="宋体" w:hint="eastAsia"/>
          <w:szCs w:val="21"/>
        </w:rPr>
        <w:t>）</w:t>
      </w:r>
      <w:r w:rsidR="008C7940" w:rsidRPr="008C7940">
        <w:rPr>
          <w:rFonts w:ascii="宋体" w:hAnsi="宋体" w:hint="eastAsia"/>
          <w:kern w:val="0"/>
          <w:szCs w:val="21"/>
        </w:rPr>
        <w:t>短期偿债能力和长期偿债能力的</w:t>
      </w:r>
      <w:r w:rsidR="008C7940">
        <w:rPr>
          <w:rFonts w:ascii="宋体" w:hAnsi="宋体" w:hint="eastAsia"/>
          <w:kern w:val="0"/>
          <w:szCs w:val="21"/>
        </w:rPr>
        <w:t>联系。</w:t>
      </w:r>
    </w:p>
    <w:p w14:paraId="581219F2" w14:textId="77777777" w:rsidR="008C7940" w:rsidRPr="008C7940" w:rsidRDefault="008C7940" w:rsidP="009D1114">
      <w:pPr>
        <w:snapToGrid w:val="0"/>
        <w:spacing w:line="300" w:lineRule="auto"/>
        <w:ind w:firstLineChars="200" w:firstLine="420"/>
        <w:rPr>
          <w:rFonts w:ascii="宋体" w:hAnsi="宋体"/>
          <w:szCs w:val="21"/>
        </w:rPr>
      </w:pPr>
      <w:r>
        <w:rPr>
          <w:rFonts w:ascii="宋体" w:hAnsi="宋体" w:hint="eastAsia"/>
          <w:szCs w:val="21"/>
        </w:rPr>
        <w:t>二者都是反映企业及时偿还债务的能力，但并非越高越好。企业追求</w:t>
      </w:r>
      <w:r w:rsidRPr="00AC3B03">
        <w:rPr>
          <w:rFonts w:ascii="宋体" w:hAnsi="宋体" w:hint="eastAsia"/>
          <w:szCs w:val="21"/>
        </w:rPr>
        <w:t>价值最大化目标的同时，</w:t>
      </w:r>
      <w:r>
        <w:rPr>
          <w:rFonts w:ascii="宋体" w:hAnsi="宋体" w:hint="eastAsia"/>
          <w:szCs w:val="21"/>
        </w:rPr>
        <w:t>应该</w:t>
      </w:r>
      <w:r w:rsidRPr="00AC3B03">
        <w:rPr>
          <w:rFonts w:ascii="宋体" w:hAnsi="宋体" w:hint="eastAsia"/>
          <w:szCs w:val="21"/>
        </w:rPr>
        <w:t>合理安排企业的债务水平与资产结构，实现风险与收益的均衡。另外，由于长期负债在一定期限内将逐步转化为短期负债，因此，长期负债得以偿还的前提是企业具有较强的短期偿债能力，短期偿债能力是长期偿债能力的基础；但从长期来看，企业的长期偿债能力最终取决于企业的获利能力。</w:t>
      </w:r>
    </w:p>
    <w:p w14:paraId="497A33BA" w14:textId="77777777" w:rsidR="00D0716E" w:rsidRDefault="00D0716E" w:rsidP="009D1114">
      <w:pPr>
        <w:pStyle w:val="4"/>
        <w:spacing w:before="120" w:after="120" w:line="300" w:lineRule="auto"/>
        <w:rPr>
          <w:rFonts w:ascii="宋体" w:eastAsia="宋体" w:hAnsi="宋体"/>
          <w:sz w:val="21"/>
          <w:szCs w:val="21"/>
        </w:rPr>
      </w:pPr>
      <w:r>
        <w:rPr>
          <w:rFonts w:ascii="宋体" w:eastAsia="宋体" w:hAnsi="宋体" w:hint="eastAsia"/>
          <w:sz w:val="21"/>
          <w:szCs w:val="21"/>
        </w:rPr>
        <w:lastRenderedPageBreak/>
        <w:t>4. 根据</w:t>
      </w:r>
      <w:r>
        <w:rPr>
          <w:rFonts w:ascii="宋体" w:eastAsia="宋体" w:hAnsi="宋体"/>
          <w:sz w:val="21"/>
          <w:szCs w:val="21"/>
        </w:rPr>
        <w:t>资料，计算</w:t>
      </w:r>
      <w:r>
        <w:rPr>
          <w:rFonts w:ascii="宋体" w:eastAsia="宋体" w:hAnsi="宋体" w:hint="eastAsia"/>
          <w:sz w:val="21"/>
          <w:szCs w:val="21"/>
        </w:rPr>
        <w:t>甲</w:t>
      </w:r>
      <w:r>
        <w:rPr>
          <w:rFonts w:ascii="宋体" w:eastAsia="宋体" w:hAnsi="宋体"/>
          <w:sz w:val="21"/>
          <w:szCs w:val="21"/>
        </w:rPr>
        <w:t>公司的</w:t>
      </w:r>
      <w:r>
        <w:rPr>
          <w:rFonts w:ascii="宋体" w:eastAsia="宋体" w:hAnsi="宋体" w:hint="eastAsia"/>
          <w:sz w:val="21"/>
          <w:szCs w:val="21"/>
        </w:rPr>
        <w:t>短期</w:t>
      </w:r>
      <w:r>
        <w:rPr>
          <w:rFonts w:ascii="宋体" w:eastAsia="宋体" w:hAnsi="宋体"/>
          <w:sz w:val="21"/>
          <w:szCs w:val="21"/>
        </w:rPr>
        <w:t>偿债能力指标。</w:t>
      </w:r>
    </w:p>
    <w:p w14:paraId="188A2B53" w14:textId="4DD90AD2" w:rsidR="004B23A9" w:rsidRDefault="004B23A9" w:rsidP="004B23A9">
      <w:pPr>
        <w:spacing w:line="300" w:lineRule="auto"/>
        <w:jc w:val="center"/>
        <w:rPr>
          <w:rFonts w:ascii="宋体" w:hAnsi="宋体"/>
        </w:rPr>
      </w:pPr>
      <w:r>
        <w:rPr>
          <w:rFonts w:ascii="宋体" w:hAnsi="宋体" w:hint="eastAsia"/>
        </w:rPr>
        <w:t>甲</w:t>
      </w:r>
      <w:bookmarkStart w:id="1" w:name="_GoBack"/>
      <w:bookmarkEnd w:id="1"/>
      <w:r>
        <w:rPr>
          <w:rFonts w:ascii="宋体" w:hAnsi="宋体" w:hint="eastAsia"/>
        </w:rPr>
        <w:t>公司短期偿债能力指标</w:t>
      </w:r>
    </w:p>
    <w:p w14:paraId="07ACC2A2" w14:textId="77777777" w:rsidR="004B23A9" w:rsidRDefault="004B23A9" w:rsidP="004B23A9">
      <w:pPr>
        <w:spacing w:line="300" w:lineRule="auto"/>
        <w:jc w:val="right"/>
        <w:rPr>
          <w:rFonts w:ascii="宋体" w:hAnsi="宋体" w:hint="eastAsia"/>
        </w:rPr>
      </w:pPr>
      <w:r>
        <w:rPr>
          <w:rFonts w:ascii="宋体" w:hAnsi="宋体" w:hint="eastAsia"/>
        </w:rPr>
        <w:t>单位：万元</w:t>
      </w:r>
    </w:p>
    <w:tbl>
      <w:tblPr>
        <w:tblStyle w:val="a7"/>
        <w:tblW w:w="0" w:type="auto"/>
        <w:tblLook w:val="04A0" w:firstRow="1" w:lastRow="0" w:firstColumn="1" w:lastColumn="0" w:noHBand="0" w:noVBand="1"/>
      </w:tblPr>
      <w:tblGrid>
        <w:gridCol w:w="2840"/>
        <w:gridCol w:w="2841"/>
        <w:gridCol w:w="2841"/>
      </w:tblGrid>
      <w:tr w:rsidR="004B23A9" w14:paraId="234DFB24" w14:textId="77777777" w:rsidTr="004B23A9">
        <w:tc>
          <w:tcPr>
            <w:tcW w:w="2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36C2A"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项目</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93A49"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2014年</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DD0BE"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2013年</w:t>
            </w:r>
          </w:p>
        </w:tc>
      </w:tr>
      <w:tr w:rsidR="004B23A9" w14:paraId="322E5F62" w14:textId="77777777" w:rsidTr="004B23A9">
        <w:tc>
          <w:tcPr>
            <w:tcW w:w="2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86022"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营运资本</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CB9D7"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4289.15</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23D81"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1542.07</w:t>
            </w:r>
          </w:p>
        </w:tc>
      </w:tr>
      <w:tr w:rsidR="004B23A9" w14:paraId="53B367DF" w14:textId="77777777" w:rsidTr="004B23A9">
        <w:tc>
          <w:tcPr>
            <w:tcW w:w="2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0E08C5"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流动比率</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34310"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3.63</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079F5"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2.47</w:t>
            </w:r>
          </w:p>
        </w:tc>
      </w:tr>
      <w:tr w:rsidR="004B23A9" w14:paraId="3C6DF872" w14:textId="77777777" w:rsidTr="004B23A9">
        <w:tc>
          <w:tcPr>
            <w:tcW w:w="2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4B4DF"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速动比率</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BA733"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2.95</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A47B7"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1.27</w:t>
            </w:r>
          </w:p>
        </w:tc>
      </w:tr>
      <w:tr w:rsidR="004B23A9" w14:paraId="68421E91" w14:textId="77777777" w:rsidTr="004B23A9">
        <w:tc>
          <w:tcPr>
            <w:tcW w:w="2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0F366"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现金比率</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E67390"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0.13</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EC172E" w14:textId="77777777" w:rsidR="004B23A9" w:rsidRDefault="004B23A9">
            <w:pPr>
              <w:spacing w:line="300" w:lineRule="auto"/>
              <w:jc w:val="center"/>
              <w:rPr>
                <w:rFonts w:ascii="楷体" w:eastAsia="楷体" w:hAnsi="楷体" w:hint="eastAsia"/>
                <w:sz w:val="18"/>
                <w:szCs w:val="18"/>
              </w:rPr>
            </w:pPr>
            <w:r>
              <w:rPr>
                <w:rFonts w:ascii="楷体" w:eastAsia="楷体" w:hAnsi="楷体" w:hint="eastAsia"/>
                <w:sz w:val="18"/>
                <w:szCs w:val="18"/>
              </w:rPr>
              <w:t>0.35</w:t>
            </w:r>
          </w:p>
        </w:tc>
      </w:tr>
    </w:tbl>
    <w:p w14:paraId="492A1428" w14:textId="77777777" w:rsidR="00395E0E" w:rsidRPr="00490D09" w:rsidRDefault="00D0716E" w:rsidP="009D1114">
      <w:pPr>
        <w:pStyle w:val="4"/>
        <w:spacing w:before="120" w:after="120" w:line="300" w:lineRule="auto"/>
        <w:rPr>
          <w:rFonts w:ascii="宋体" w:eastAsia="宋体" w:hAnsi="宋体"/>
          <w:sz w:val="21"/>
          <w:szCs w:val="21"/>
        </w:rPr>
      </w:pPr>
      <w:r>
        <w:rPr>
          <w:rFonts w:ascii="宋体" w:eastAsia="宋体" w:hAnsi="宋体"/>
          <w:sz w:val="21"/>
          <w:szCs w:val="21"/>
        </w:rPr>
        <w:t>5</w:t>
      </w:r>
      <w:r w:rsidR="00395E0E" w:rsidRPr="00490D09">
        <w:rPr>
          <w:rFonts w:ascii="宋体" w:eastAsia="宋体" w:hAnsi="宋体" w:hint="eastAsia"/>
          <w:sz w:val="21"/>
          <w:szCs w:val="21"/>
        </w:rPr>
        <w:t>．</w:t>
      </w:r>
      <w:r w:rsidR="00F374C8" w:rsidRPr="00490D09">
        <w:rPr>
          <w:rFonts w:ascii="宋体" w:eastAsia="宋体" w:hAnsi="宋体" w:hint="eastAsia"/>
          <w:kern w:val="0"/>
          <w:sz w:val="21"/>
          <w:szCs w:val="21"/>
        </w:rPr>
        <w:t>影响</w:t>
      </w:r>
      <w:r w:rsidR="00554357">
        <w:rPr>
          <w:rFonts w:ascii="宋体" w:eastAsia="宋体" w:hAnsi="宋体" w:hint="eastAsia"/>
          <w:kern w:val="0"/>
          <w:sz w:val="21"/>
          <w:szCs w:val="21"/>
        </w:rPr>
        <w:t>企业</w:t>
      </w:r>
      <w:r w:rsidR="00F374C8" w:rsidRPr="00490D09">
        <w:rPr>
          <w:rFonts w:ascii="宋体" w:eastAsia="宋体" w:hAnsi="宋体" w:hint="eastAsia"/>
          <w:kern w:val="0"/>
          <w:sz w:val="21"/>
          <w:szCs w:val="21"/>
        </w:rPr>
        <w:t>长期偿债能力的因素有哪些？</w:t>
      </w:r>
    </w:p>
    <w:p w14:paraId="6E5414E0" w14:textId="77777777" w:rsidR="00D546BB" w:rsidRDefault="00D0716E" w:rsidP="00D0716E">
      <w:pPr>
        <w:spacing w:line="300" w:lineRule="auto"/>
        <w:ind w:firstLineChars="200" w:firstLine="420"/>
        <w:rPr>
          <w:rFonts w:ascii="宋体" w:hAnsi="宋体"/>
          <w:szCs w:val="21"/>
        </w:rPr>
      </w:pPr>
      <w:r>
        <w:rPr>
          <w:rFonts w:ascii="宋体" w:hAnsi="宋体" w:hint="eastAsia"/>
          <w:szCs w:val="21"/>
        </w:rPr>
        <w:t>（1）</w:t>
      </w:r>
      <w:r w:rsidR="00D546BB" w:rsidRPr="00D546BB">
        <w:rPr>
          <w:rFonts w:ascii="宋体" w:hAnsi="宋体" w:hint="eastAsia"/>
          <w:szCs w:val="21"/>
        </w:rPr>
        <w:t>长期资产</w:t>
      </w:r>
      <w:r>
        <w:rPr>
          <w:rFonts w:ascii="宋体" w:hAnsi="宋体" w:hint="eastAsia"/>
          <w:szCs w:val="21"/>
        </w:rPr>
        <w:t>。</w:t>
      </w:r>
      <w:r w:rsidR="00D546BB" w:rsidRPr="00D546BB">
        <w:rPr>
          <w:rFonts w:ascii="宋体" w:hAnsi="宋体" w:hint="eastAsia"/>
          <w:szCs w:val="21"/>
        </w:rPr>
        <w:t xml:space="preserve">资产负债表中的长期资产主要包括固定资产、长期投资和无形资产。将长期资产作为偿还长期债务的资产保障时，长期资产的计价和摊销方法对长期偿债能力的影响最大。 　</w:t>
      </w:r>
    </w:p>
    <w:p w14:paraId="2AB1C71E"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（2）</w:t>
      </w:r>
      <w:r w:rsidR="00D546BB" w:rsidRPr="00D546BB">
        <w:rPr>
          <w:rFonts w:ascii="宋体" w:hAnsi="宋体" w:hint="eastAsia"/>
          <w:szCs w:val="21"/>
        </w:rPr>
        <w:t>长期负债</w:t>
      </w:r>
      <w:r>
        <w:rPr>
          <w:rFonts w:ascii="宋体" w:hAnsi="宋体" w:hint="eastAsia"/>
          <w:szCs w:val="21"/>
        </w:rPr>
        <w:t>。</w:t>
      </w:r>
      <w:r w:rsidR="00D546BB" w:rsidRPr="00D546BB">
        <w:rPr>
          <w:rFonts w:ascii="宋体" w:hAnsi="宋体" w:hint="eastAsia"/>
          <w:szCs w:val="21"/>
        </w:rPr>
        <w:t xml:space="preserve">在资产负债表中，属于长期负债的项目有长期借款、应付债券、长期应付款、专项应付款和其他长期负债。在分析长期偿债能力时，应特别注意以下问题： 　　</w:t>
      </w:r>
    </w:p>
    <w:p w14:paraId="0130998D"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 xml:space="preserve">① </w:t>
      </w:r>
      <w:r w:rsidR="00D546BB" w:rsidRPr="00D546BB">
        <w:rPr>
          <w:rFonts w:ascii="宋体" w:hAnsi="宋体" w:hint="eastAsia"/>
          <w:szCs w:val="21"/>
        </w:rPr>
        <w:t xml:space="preserve">会计政策和会计方法的可选择性，使长期负债额产生差异。分析时应注意会计方法的影响，特别是中途变更会计方法对长期负债的影响。 　　</w:t>
      </w:r>
    </w:p>
    <w:p w14:paraId="407F6CEC"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 xml:space="preserve">② </w:t>
      </w:r>
      <w:r w:rsidR="00D546BB" w:rsidRPr="00D546BB">
        <w:rPr>
          <w:rFonts w:ascii="宋体" w:hAnsi="宋体" w:hint="eastAsia"/>
          <w:szCs w:val="21"/>
        </w:rPr>
        <w:t xml:space="preserve">应将可转换债券从长期负债中扣除。 　　</w:t>
      </w:r>
    </w:p>
    <w:p w14:paraId="73826423"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 xml:space="preserve">③ </w:t>
      </w:r>
      <w:r w:rsidR="00D546BB" w:rsidRPr="00D546BB">
        <w:rPr>
          <w:rFonts w:ascii="宋体" w:hAnsi="宋体" w:hint="eastAsia"/>
          <w:szCs w:val="21"/>
        </w:rPr>
        <w:t xml:space="preserve">有法定赎回要求的优先股也应该作为负债。 　　</w:t>
      </w:r>
    </w:p>
    <w:p w14:paraId="6C48862D" w14:textId="77777777" w:rsidR="00D546BB" w:rsidRDefault="00D546BB" w:rsidP="009D1114">
      <w:pPr>
        <w:spacing w:line="300" w:lineRule="auto"/>
        <w:ind w:firstLineChars="200" w:firstLine="420"/>
        <w:jc w:val="left"/>
        <w:rPr>
          <w:rFonts w:ascii="宋体" w:hAnsi="宋体"/>
          <w:szCs w:val="21"/>
        </w:rPr>
      </w:pPr>
      <w:r w:rsidRPr="00D546BB">
        <w:rPr>
          <w:rFonts w:ascii="宋体" w:hAnsi="宋体" w:hint="eastAsia"/>
          <w:szCs w:val="21"/>
        </w:rPr>
        <w:t>(</w:t>
      </w:r>
      <w:r w:rsidR="00D0716E">
        <w:rPr>
          <w:rFonts w:ascii="宋体" w:hAnsi="宋体" w:hint="eastAsia"/>
          <w:szCs w:val="21"/>
        </w:rPr>
        <w:t>3</w:t>
      </w:r>
      <w:r w:rsidRPr="00D546BB">
        <w:rPr>
          <w:rFonts w:ascii="宋体" w:hAnsi="宋体" w:hint="eastAsia"/>
          <w:szCs w:val="21"/>
        </w:rPr>
        <w:t>)长期租赁</w:t>
      </w:r>
      <w:r w:rsidR="00D0716E">
        <w:rPr>
          <w:rFonts w:ascii="宋体" w:hAnsi="宋体" w:hint="eastAsia"/>
          <w:szCs w:val="21"/>
        </w:rPr>
        <w:t>。</w:t>
      </w:r>
      <w:r w:rsidRPr="00D546BB">
        <w:rPr>
          <w:rFonts w:ascii="宋体" w:hAnsi="宋体" w:hint="eastAsia"/>
          <w:szCs w:val="21"/>
        </w:rPr>
        <w:t xml:space="preserve">融资租赁是由租赁公司垫付资金，按承租人要求购买设备，承租人按合同规定支付租金，所购设备一般于合同期满转归承租人所有的一种租赁方式。因而企业通常将融资租赁视同购入固定资产，并把与该固定资产相关的债务作为企业负债反映在资产负债表中。 　　</w:t>
      </w:r>
    </w:p>
    <w:p w14:paraId="3550691B" w14:textId="77777777" w:rsidR="00D546BB" w:rsidRDefault="00D546BB" w:rsidP="009D1114">
      <w:pPr>
        <w:spacing w:line="300" w:lineRule="auto"/>
        <w:ind w:firstLineChars="200" w:firstLine="420"/>
        <w:jc w:val="left"/>
        <w:rPr>
          <w:rFonts w:ascii="宋体" w:hAnsi="宋体"/>
          <w:szCs w:val="21"/>
        </w:rPr>
      </w:pPr>
      <w:r w:rsidRPr="00D546BB">
        <w:rPr>
          <w:rFonts w:ascii="宋体" w:hAnsi="宋体" w:hint="eastAsia"/>
          <w:szCs w:val="21"/>
        </w:rPr>
        <w:t xml:space="preserve">不同于融资租赁，企业的经营租赁不在资产负债表上反映，只出现在报表附注和利润表的租金项目中。当企业经营租赁量比较大，期限比较长或具有经常性时，经营租赁实际上就构成了一种长期性筹资。因此，必须考虑这类经营租赁对企业债务结构的影响。 　　</w:t>
      </w:r>
    </w:p>
    <w:p w14:paraId="68DCF4EB" w14:textId="77777777" w:rsidR="00D546BB" w:rsidRDefault="00D546BB" w:rsidP="009D1114">
      <w:pPr>
        <w:spacing w:line="300" w:lineRule="auto"/>
        <w:ind w:firstLineChars="200" w:firstLine="420"/>
        <w:jc w:val="left"/>
        <w:rPr>
          <w:rFonts w:ascii="宋体" w:hAnsi="宋体"/>
          <w:szCs w:val="21"/>
        </w:rPr>
      </w:pPr>
      <w:r w:rsidRPr="00D546BB">
        <w:rPr>
          <w:rFonts w:ascii="宋体" w:hAnsi="宋体" w:hint="eastAsia"/>
          <w:szCs w:val="21"/>
        </w:rPr>
        <w:t>(</w:t>
      </w:r>
      <w:r w:rsidR="00D0716E">
        <w:rPr>
          <w:rFonts w:ascii="宋体" w:hAnsi="宋体" w:hint="eastAsia"/>
          <w:szCs w:val="21"/>
        </w:rPr>
        <w:t>4</w:t>
      </w:r>
      <w:r w:rsidRPr="00D546BB">
        <w:rPr>
          <w:rFonts w:ascii="宋体" w:hAnsi="宋体" w:hint="eastAsia"/>
          <w:szCs w:val="21"/>
        </w:rPr>
        <w:t>)退休金计划</w:t>
      </w:r>
      <w:r w:rsidR="00D0716E">
        <w:rPr>
          <w:rFonts w:ascii="宋体" w:hAnsi="宋体" w:hint="eastAsia"/>
          <w:szCs w:val="21"/>
        </w:rPr>
        <w:t>。</w:t>
      </w:r>
      <w:r w:rsidRPr="00D546BB">
        <w:rPr>
          <w:rFonts w:ascii="宋体" w:hAnsi="宋体" w:hint="eastAsia"/>
          <w:szCs w:val="21"/>
        </w:rPr>
        <w:t xml:space="preserve">退休金是支付给退休人员用于保障退休后生活的货币额。退休金计划是一种企业与职工之间关于职工退休后退休金支付的协议。退休金计划应包括以下内容：参与该计划职工的资格和条件;计算给付退休金的方法;指定的退休金受托单位;定期向退休基金拨付的现金额;退休金的给付方式等。 　　</w:t>
      </w:r>
    </w:p>
    <w:p w14:paraId="7FACB97A"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（5）</w:t>
      </w:r>
      <w:r w:rsidR="00D546BB" w:rsidRPr="00D546BB">
        <w:rPr>
          <w:rFonts w:ascii="宋体" w:hAnsi="宋体" w:hint="eastAsia"/>
          <w:szCs w:val="21"/>
        </w:rPr>
        <w:t>或有事项</w:t>
      </w:r>
      <w:r>
        <w:rPr>
          <w:rFonts w:ascii="宋体" w:hAnsi="宋体" w:hint="eastAsia"/>
          <w:szCs w:val="21"/>
        </w:rPr>
        <w:t>。</w:t>
      </w:r>
      <w:r w:rsidR="00D546BB" w:rsidRPr="00D546BB">
        <w:rPr>
          <w:rFonts w:ascii="宋体" w:hAnsi="宋体" w:hint="eastAsia"/>
          <w:szCs w:val="21"/>
        </w:rPr>
        <w:t>或有事项是指过去的交易或事项形成的一种状态，其结果须通过未来不确定事项的发生或不发生予以证实。或有事项分为或有资产和或有负债。或有资产是指过去交易或事项形成的潜在资产，其存在要通过未来不确定事项的发生或不发生予以证实。 　　产生或有资产会提高企业的偿债能力;产生或有负债会降低企业的偿债能力。因此，在分析企业的财务报表时，必须充分注意有关或有项目的报表附注披露，以了解未在资产负债表上</w:t>
      </w:r>
      <w:r w:rsidR="00D546BB" w:rsidRPr="00D546BB">
        <w:rPr>
          <w:rFonts w:ascii="宋体" w:hAnsi="宋体" w:hint="eastAsia"/>
          <w:szCs w:val="21"/>
        </w:rPr>
        <w:lastRenderedPageBreak/>
        <w:t xml:space="preserve">反映的或有项目，并在评价企业长期偿债能力时，考虑或有项目的潜在影响。同时，应关注有否资产负债表日后的或有事项。 　　</w:t>
      </w:r>
    </w:p>
    <w:p w14:paraId="205482EB"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（6）</w:t>
      </w:r>
      <w:r w:rsidR="00D546BB" w:rsidRPr="00D546BB">
        <w:rPr>
          <w:rFonts w:ascii="宋体" w:hAnsi="宋体" w:hint="eastAsia"/>
          <w:szCs w:val="21"/>
        </w:rPr>
        <w:t>承诺</w:t>
      </w:r>
      <w:r>
        <w:rPr>
          <w:rFonts w:ascii="宋体" w:hAnsi="宋体" w:hint="eastAsia"/>
          <w:szCs w:val="21"/>
        </w:rPr>
        <w:t>。</w:t>
      </w:r>
      <w:r w:rsidR="00D546BB" w:rsidRPr="00D546BB">
        <w:rPr>
          <w:rFonts w:ascii="宋体" w:hAnsi="宋体" w:hint="eastAsia"/>
          <w:szCs w:val="21"/>
        </w:rPr>
        <w:t xml:space="preserve">承诺是企业对外发出的将要承担的某种经济责任和义务。企业为了经营的需要，常常要做出某些承诺，这种承诺有时会大量的增加该企业的潜在负债或承诺义务，而却没有通过资产负债表反映出来。因此，在进行企业长期偿债能力分析时，报表分析者应根据报表附注及其他有关资料等，判断承诺变成真实负债的可能性;判断承诺责任带来的潜在长期负债，并做相应处理。 　　</w:t>
      </w:r>
    </w:p>
    <w:p w14:paraId="652F461D" w14:textId="77777777" w:rsidR="00D546BB" w:rsidRDefault="00D546BB" w:rsidP="009D1114">
      <w:pPr>
        <w:spacing w:line="300" w:lineRule="auto"/>
        <w:ind w:firstLineChars="200" w:firstLine="420"/>
        <w:jc w:val="left"/>
        <w:rPr>
          <w:rFonts w:ascii="宋体" w:hAnsi="宋体"/>
          <w:szCs w:val="21"/>
        </w:rPr>
      </w:pPr>
      <w:r w:rsidRPr="00D546BB">
        <w:rPr>
          <w:rFonts w:ascii="宋体" w:hAnsi="宋体" w:hint="eastAsia"/>
          <w:szCs w:val="21"/>
        </w:rPr>
        <w:t>(</w:t>
      </w:r>
      <w:r w:rsidR="00D0716E">
        <w:rPr>
          <w:rFonts w:ascii="宋体" w:hAnsi="宋体" w:hint="eastAsia"/>
          <w:szCs w:val="21"/>
        </w:rPr>
        <w:t>7</w:t>
      </w:r>
      <w:r w:rsidRPr="00D546BB">
        <w:rPr>
          <w:rFonts w:ascii="宋体" w:hAnsi="宋体" w:hint="eastAsia"/>
          <w:szCs w:val="21"/>
        </w:rPr>
        <w:t>)金融工具</w:t>
      </w:r>
      <w:r w:rsidR="00D0716E">
        <w:rPr>
          <w:rFonts w:ascii="宋体" w:hAnsi="宋体" w:hint="eastAsia"/>
          <w:szCs w:val="21"/>
        </w:rPr>
        <w:t>。</w:t>
      </w:r>
      <w:r w:rsidRPr="00D546BB">
        <w:rPr>
          <w:rFonts w:ascii="宋体" w:hAnsi="宋体" w:hint="eastAsia"/>
          <w:szCs w:val="21"/>
        </w:rPr>
        <w:t xml:space="preserve">金融工具是指引起一方获得金融资产并引起另一方承担金融负债或享有所有者权益的契约。与偿债能力有关的金融工具主要是债券和金融衍生工具。金融工具对企业偿债能力的影响主要体现在两方面： 　　</w:t>
      </w:r>
    </w:p>
    <w:p w14:paraId="61A1B115" w14:textId="77777777" w:rsidR="00D546BB" w:rsidRDefault="00D0716E" w:rsidP="009D1114">
      <w:pPr>
        <w:spacing w:line="300" w:lineRule="auto"/>
        <w:ind w:firstLineChars="200" w:firstLine="420"/>
        <w:jc w:val="left"/>
        <w:rPr>
          <w:rFonts w:ascii="宋体" w:hAnsi="宋体"/>
          <w:szCs w:val="21"/>
        </w:rPr>
      </w:pPr>
      <w:r>
        <w:rPr>
          <w:rFonts w:ascii="宋体" w:hAnsi="宋体" w:hint="eastAsia"/>
          <w:szCs w:val="21"/>
        </w:rPr>
        <w:t xml:space="preserve">① </w:t>
      </w:r>
      <w:r w:rsidR="00D546BB" w:rsidRPr="00D546BB">
        <w:rPr>
          <w:rFonts w:ascii="宋体" w:hAnsi="宋体" w:hint="eastAsia"/>
          <w:szCs w:val="21"/>
        </w:rPr>
        <w:t xml:space="preserve">金融工具的公允价值与账面价值发生重大差异，但并没有在财务报表中或报表附注中揭示。 　　</w:t>
      </w:r>
    </w:p>
    <w:p w14:paraId="131357B6" w14:textId="77777777" w:rsidR="00395E0E" w:rsidRPr="00F374C8" w:rsidRDefault="00D0716E" w:rsidP="009D1114">
      <w:pPr>
        <w:spacing w:line="300" w:lineRule="auto"/>
        <w:ind w:firstLineChars="200" w:firstLine="420"/>
        <w:jc w:val="left"/>
        <w:rPr>
          <w:rFonts w:ascii="宋体" w:hAnsi="宋体"/>
          <w:szCs w:val="21"/>
        </w:rPr>
      </w:pPr>
      <w:r>
        <w:rPr>
          <w:rFonts w:ascii="宋体" w:hAnsi="宋体" w:hint="eastAsia"/>
          <w:szCs w:val="21"/>
        </w:rPr>
        <w:t xml:space="preserve">② </w:t>
      </w:r>
      <w:r w:rsidR="00D546BB" w:rsidRPr="00D546BB">
        <w:rPr>
          <w:rFonts w:ascii="宋体" w:hAnsi="宋体" w:hint="eastAsia"/>
          <w:szCs w:val="21"/>
        </w:rPr>
        <w:t>未能对金融工具的风险程度恰当披露。报表使用者在分析企业的长期偿债能力时，要注意结合具有资产负债表表外风险的金融工具记录，并分析信贷风险集中的信用项目和金融工具项目，综合起来对企业偿债能力做出判断。    </w:t>
      </w:r>
    </w:p>
    <w:p w14:paraId="681895DD" w14:textId="77777777" w:rsidR="00BD0619" w:rsidRPr="00395E0E" w:rsidRDefault="00BD0619" w:rsidP="009D1114">
      <w:pPr>
        <w:spacing w:line="300" w:lineRule="auto"/>
        <w:ind w:firstLineChars="200" w:firstLine="420"/>
      </w:pPr>
    </w:p>
    <w:sectPr w:rsidR="00BD0619" w:rsidRPr="00395E0E" w:rsidSect="00C846F7">
      <w:footerReference w:type="even" r:id="rId6"/>
      <w:footerReference w:type="default" r:id="rId7"/>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4893E" w14:textId="77777777" w:rsidR="0042790F" w:rsidRDefault="0042790F" w:rsidP="00395E0E">
      <w:r>
        <w:separator/>
      </w:r>
    </w:p>
  </w:endnote>
  <w:endnote w:type="continuationSeparator" w:id="0">
    <w:p w14:paraId="17F9CB40" w14:textId="77777777" w:rsidR="0042790F" w:rsidRDefault="0042790F" w:rsidP="0039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AAEE" w14:textId="77777777" w:rsidR="0031337F" w:rsidRDefault="003B5C3A" w:rsidP="00383D69">
    <w:pPr>
      <w:pStyle w:val="a4"/>
      <w:framePr w:wrap="around" w:vAnchor="text" w:hAnchor="margin" w:xAlign="center" w:y="1"/>
      <w:rPr>
        <w:rStyle w:val="a5"/>
      </w:rPr>
    </w:pPr>
    <w:r>
      <w:rPr>
        <w:rStyle w:val="a5"/>
      </w:rPr>
      <w:fldChar w:fldCharType="begin"/>
    </w:r>
    <w:r w:rsidR="00BD0619">
      <w:rPr>
        <w:rStyle w:val="a5"/>
      </w:rPr>
      <w:instrText xml:space="preserve">PAGE  </w:instrText>
    </w:r>
    <w:r>
      <w:rPr>
        <w:rStyle w:val="a5"/>
      </w:rPr>
      <w:fldChar w:fldCharType="end"/>
    </w:r>
  </w:p>
  <w:p w14:paraId="49C444BA" w14:textId="77777777" w:rsidR="0031337F" w:rsidRDefault="004279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E8A1" w14:textId="77777777" w:rsidR="0031337F" w:rsidRDefault="003B5C3A" w:rsidP="00383D69">
    <w:pPr>
      <w:pStyle w:val="a4"/>
      <w:framePr w:wrap="around" w:vAnchor="text" w:hAnchor="margin" w:xAlign="center" w:y="1"/>
      <w:rPr>
        <w:rStyle w:val="a5"/>
      </w:rPr>
    </w:pPr>
    <w:r>
      <w:rPr>
        <w:rStyle w:val="a5"/>
      </w:rPr>
      <w:fldChar w:fldCharType="begin"/>
    </w:r>
    <w:r w:rsidR="00BD0619">
      <w:rPr>
        <w:rStyle w:val="a5"/>
      </w:rPr>
      <w:instrText xml:space="preserve">PAGE  </w:instrText>
    </w:r>
    <w:r>
      <w:rPr>
        <w:rStyle w:val="a5"/>
      </w:rPr>
      <w:fldChar w:fldCharType="separate"/>
    </w:r>
    <w:r w:rsidR="004B23A9">
      <w:rPr>
        <w:rStyle w:val="a5"/>
        <w:noProof/>
      </w:rPr>
      <w:t>2</w:t>
    </w:r>
    <w:r>
      <w:rPr>
        <w:rStyle w:val="a5"/>
      </w:rPr>
      <w:fldChar w:fldCharType="end"/>
    </w:r>
  </w:p>
  <w:p w14:paraId="66232ED8" w14:textId="77777777" w:rsidR="0031337F" w:rsidRDefault="004279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6EC3A" w14:textId="77777777" w:rsidR="0042790F" w:rsidRDefault="0042790F" w:rsidP="00395E0E">
      <w:r>
        <w:separator/>
      </w:r>
    </w:p>
  </w:footnote>
  <w:footnote w:type="continuationSeparator" w:id="0">
    <w:p w14:paraId="45FA4B6C" w14:textId="77777777" w:rsidR="0042790F" w:rsidRDefault="0042790F" w:rsidP="00395E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95E0E"/>
    <w:rsid w:val="000251DF"/>
    <w:rsid w:val="00162CBB"/>
    <w:rsid w:val="00254599"/>
    <w:rsid w:val="00295D74"/>
    <w:rsid w:val="002B21D8"/>
    <w:rsid w:val="00320AA7"/>
    <w:rsid w:val="00395E0E"/>
    <w:rsid w:val="003B5C3A"/>
    <w:rsid w:val="0042790F"/>
    <w:rsid w:val="00467328"/>
    <w:rsid w:val="00490D09"/>
    <w:rsid w:val="004B23A9"/>
    <w:rsid w:val="00554357"/>
    <w:rsid w:val="006C5709"/>
    <w:rsid w:val="007F6650"/>
    <w:rsid w:val="00874D0D"/>
    <w:rsid w:val="008C7940"/>
    <w:rsid w:val="009D1114"/>
    <w:rsid w:val="009F21E9"/>
    <w:rsid w:val="00A3427A"/>
    <w:rsid w:val="00AA4E7B"/>
    <w:rsid w:val="00BA1261"/>
    <w:rsid w:val="00BD0619"/>
    <w:rsid w:val="00C846F7"/>
    <w:rsid w:val="00D0716E"/>
    <w:rsid w:val="00D546BB"/>
    <w:rsid w:val="00E24886"/>
    <w:rsid w:val="00F374C8"/>
    <w:rsid w:val="00F61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56535"/>
  <w15:docId w15:val="{9CF26A94-934A-483E-8F60-CBD88FB8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E0E"/>
    <w:pPr>
      <w:widowControl w:val="0"/>
      <w:jc w:val="both"/>
    </w:pPr>
    <w:rPr>
      <w:rFonts w:ascii="Times New Roman" w:eastAsia="宋体" w:hAnsi="Times New Roman" w:cs="Times New Roman"/>
      <w:szCs w:val="24"/>
    </w:rPr>
  </w:style>
  <w:style w:type="paragraph" w:styleId="1">
    <w:name w:val="heading 1"/>
    <w:aliases w:val="topsage"/>
    <w:basedOn w:val="a"/>
    <w:next w:val="a"/>
    <w:link w:val="1Char"/>
    <w:qFormat/>
    <w:rsid w:val="00395E0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95E0E"/>
    <w:pPr>
      <w:keepNext/>
      <w:keepLines/>
      <w:spacing w:before="260" w:after="260" w:line="416" w:lineRule="auto"/>
      <w:outlineLvl w:val="1"/>
    </w:pPr>
    <w:rPr>
      <w:rFonts w:ascii="Arial" w:eastAsia="黑体" w:hAnsi="Arial"/>
      <w:b/>
      <w:bCs/>
      <w:sz w:val="32"/>
      <w:szCs w:val="32"/>
    </w:rPr>
  </w:style>
  <w:style w:type="paragraph" w:styleId="4">
    <w:name w:val="heading 4"/>
    <w:basedOn w:val="a"/>
    <w:next w:val="a"/>
    <w:link w:val="4Char"/>
    <w:qFormat/>
    <w:rsid w:val="00395E0E"/>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5E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5E0E"/>
    <w:rPr>
      <w:sz w:val="18"/>
      <w:szCs w:val="18"/>
    </w:rPr>
  </w:style>
  <w:style w:type="paragraph" w:styleId="a4">
    <w:name w:val="footer"/>
    <w:basedOn w:val="a"/>
    <w:link w:val="Char0"/>
    <w:unhideWhenUsed/>
    <w:rsid w:val="00395E0E"/>
    <w:pPr>
      <w:tabs>
        <w:tab w:val="center" w:pos="4153"/>
        <w:tab w:val="right" w:pos="8306"/>
      </w:tabs>
      <w:snapToGrid w:val="0"/>
      <w:jc w:val="left"/>
    </w:pPr>
    <w:rPr>
      <w:sz w:val="18"/>
      <w:szCs w:val="18"/>
    </w:rPr>
  </w:style>
  <w:style w:type="character" w:customStyle="1" w:styleId="Char0">
    <w:name w:val="页脚 Char"/>
    <w:basedOn w:val="a0"/>
    <w:link w:val="a4"/>
    <w:rsid w:val="00395E0E"/>
    <w:rPr>
      <w:sz w:val="18"/>
      <w:szCs w:val="18"/>
    </w:rPr>
  </w:style>
  <w:style w:type="character" w:customStyle="1" w:styleId="1Char">
    <w:name w:val="标题 1 Char"/>
    <w:aliases w:val="topsage Char"/>
    <w:basedOn w:val="a0"/>
    <w:link w:val="1"/>
    <w:rsid w:val="00395E0E"/>
    <w:rPr>
      <w:rFonts w:ascii="Times New Roman" w:eastAsia="宋体" w:hAnsi="Times New Roman" w:cs="Times New Roman"/>
      <w:b/>
      <w:bCs/>
      <w:kern w:val="44"/>
      <w:sz w:val="44"/>
      <w:szCs w:val="44"/>
    </w:rPr>
  </w:style>
  <w:style w:type="character" w:customStyle="1" w:styleId="2Char">
    <w:name w:val="标题 2 Char"/>
    <w:basedOn w:val="a0"/>
    <w:link w:val="2"/>
    <w:rsid w:val="00395E0E"/>
    <w:rPr>
      <w:rFonts w:ascii="Arial" w:eastAsia="黑体" w:hAnsi="Arial" w:cs="Times New Roman"/>
      <w:b/>
      <w:bCs/>
      <w:sz w:val="32"/>
      <w:szCs w:val="32"/>
    </w:rPr>
  </w:style>
  <w:style w:type="character" w:customStyle="1" w:styleId="4Char">
    <w:name w:val="标题 4 Char"/>
    <w:basedOn w:val="a0"/>
    <w:link w:val="4"/>
    <w:rsid w:val="00395E0E"/>
    <w:rPr>
      <w:rFonts w:ascii="Arial" w:eastAsia="黑体" w:hAnsi="Arial" w:cs="Times New Roman"/>
      <w:b/>
      <w:bCs/>
      <w:sz w:val="28"/>
      <w:szCs w:val="28"/>
    </w:rPr>
  </w:style>
  <w:style w:type="character" w:styleId="a5">
    <w:name w:val="page number"/>
    <w:basedOn w:val="a0"/>
    <w:rsid w:val="00395E0E"/>
  </w:style>
  <w:style w:type="paragraph" w:styleId="a6">
    <w:name w:val="Balloon Text"/>
    <w:basedOn w:val="a"/>
    <w:link w:val="Char1"/>
    <w:uiPriority w:val="99"/>
    <w:semiHidden/>
    <w:unhideWhenUsed/>
    <w:rsid w:val="00395E0E"/>
    <w:rPr>
      <w:sz w:val="18"/>
      <w:szCs w:val="18"/>
    </w:rPr>
  </w:style>
  <w:style w:type="character" w:customStyle="1" w:styleId="Char1">
    <w:name w:val="批注框文本 Char"/>
    <w:basedOn w:val="a0"/>
    <w:link w:val="a6"/>
    <w:uiPriority w:val="99"/>
    <w:semiHidden/>
    <w:rsid w:val="00395E0E"/>
    <w:rPr>
      <w:rFonts w:ascii="Times New Roman" w:eastAsia="宋体" w:hAnsi="Times New Roman" w:cs="Times New Roman"/>
      <w:sz w:val="18"/>
      <w:szCs w:val="18"/>
    </w:rPr>
  </w:style>
  <w:style w:type="table" w:styleId="a7">
    <w:name w:val="Table Grid"/>
    <w:basedOn w:val="a1"/>
    <w:uiPriority w:val="59"/>
    <w:rsid w:val="008C794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Placeholder Text"/>
    <w:basedOn w:val="a0"/>
    <w:uiPriority w:val="99"/>
    <w:semiHidden/>
    <w:rsid w:val="00F374C8"/>
    <w:rPr>
      <w:color w:val="808080"/>
    </w:rPr>
  </w:style>
  <w:style w:type="paragraph" w:styleId="a9">
    <w:name w:val="Document Map"/>
    <w:basedOn w:val="a"/>
    <w:link w:val="Char2"/>
    <w:uiPriority w:val="99"/>
    <w:semiHidden/>
    <w:unhideWhenUsed/>
    <w:rsid w:val="00320AA7"/>
    <w:rPr>
      <w:rFonts w:ascii="宋体"/>
      <w:sz w:val="18"/>
      <w:szCs w:val="18"/>
    </w:rPr>
  </w:style>
  <w:style w:type="character" w:customStyle="1" w:styleId="Char2">
    <w:name w:val="文档结构图 Char"/>
    <w:basedOn w:val="a0"/>
    <w:link w:val="a9"/>
    <w:uiPriority w:val="99"/>
    <w:semiHidden/>
    <w:rsid w:val="00320AA7"/>
    <w:rPr>
      <w:rFonts w:ascii="宋体" w:eastAsia="宋体" w:hAnsi="Times New Roman" w:cs="Times New Roman"/>
      <w:sz w:val="18"/>
      <w:szCs w:val="18"/>
    </w:rPr>
  </w:style>
  <w:style w:type="character" w:styleId="aa">
    <w:name w:val="annotation reference"/>
    <w:basedOn w:val="a0"/>
    <w:uiPriority w:val="99"/>
    <w:semiHidden/>
    <w:unhideWhenUsed/>
    <w:rsid w:val="00D0716E"/>
    <w:rPr>
      <w:sz w:val="21"/>
      <w:szCs w:val="21"/>
    </w:rPr>
  </w:style>
  <w:style w:type="paragraph" w:styleId="ab">
    <w:name w:val="annotation text"/>
    <w:basedOn w:val="a"/>
    <w:link w:val="Char3"/>
    <w:uiPriority w:val="99"/>
    <w:semiHidden/>
    <w:unhideWhenUsed/>
    <w:rsid w:val="00D0716E"/>
    <w:pPr>
      <w:jc w:val="left"/>
    </w:pPr>
  </w:style>
  <w:style w:type="character" w:customStyle="1" w:styleId="Char3">
    <w:name w:val="批注文字 Char"/>
    <w:basedOn w:val="a0"/>
    <w:link w:val="ab"/>
    <w:uiPriority w:val="99"/>
    <w:semiHidden/>
    <w:rsid w:val="00D0716E"/>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D0716E"/>
    <w:rPr>
      <w:b/>
      <w:bCs/>
    </w:rPr>
  </w:style>
  <w:style w:type="character" w:customStyle="1" w:styleId="Char4">
    <w:name w:val="批注主题 Char"/>
    <w:basedOn w:val="Char3"/>
    <w:link w:val="ac"/>
    <w:uiPriority w:val="99"/>
    <w:semiHidden/>
    <w:rsid w:val="00D0716E"/>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849834">
      <w:bodyDiv w:val="1"/>
      <w:marLeft w:val="0"/>
      <w:marRight w:val="0"/>
      <w:marTop w:val="0"/>
      <w:marBottom w:val="0"/>
      <w:divBdr>
        <w:top w:val="none" w:sz="0" w:space="0" w:color="auto"/>
        <w:left w:val="none" w:sz="0" w:space="0" w:color="auto"/>
        <w:bottom w:val="none" w:sz="0" w:space="0" w:color="auto"/>
        <w:right w:val="none" w:sz="0" w:space="0" w:color="auto"/>
      </w:divBdr>
    </w:div>
    <w:div w:id="188871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557</Words>
  <Characters>3181</Characters>
  <Application>Microsoft Office Word</Application>
  <DocSecurity>0</DocSecurity>
  <Lines>26</Lines>
  <Paragraphs>7</Paragraphs>
  <ScaleCrop>false</ScaleCrop>
  <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王华</dc:creator>
  <cp:keywords/>
  <dc:description/>
  <cp:lastModifiedBy>zhh</cp:lastModifiedBy>
  <cp:revision>17</cp:revision>
  <dcterms:created xsi:type="dcterms:W3CDTF">2015-12-28T00:55:00Z</dcterms:created>
  <dcterms:modified xsi:type="dcterms:W3CDTF">2016-06-20T05:24:00Z</dcterms:modified>
</cp:coreProperties>
</file>